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Myriad Pro" w:eastAsiaTheme="minorHAnsi" w:hAnsi="Myriad Pro" w:cstheme="minorBidi"/>
          <w:b w:val="0"/>
          <w:bCs w:val="0"/>
          <w:color w:val="auto"/>
          <w:sz w:val="22"/>
          <w:szCs w:val="22"/>
        </w:rPr>
        <w:id w:val="27688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5D6774" w:rsidRPr="00F345AC" w:rsidRDefault="005D6774" w:rsidP="005D6774">
          <w:pPr>
            <w:pStyle w:val="Inhaltsverzeichnisberschrift"/>
            <w:rPr>
              <w:rFonts w:ascii="Myriad Pro" w:hAnsi="Myriad Pro"/>
            </w:rPr>
          </w:pPr>
          <w:r w:rsidRPr="00F345AC">
            <w:rPr>
              <w:rFonts w:ascii="Myriad Pro" w:hAnsi="Myriad Pro"/>
            </w:rPr>
            <w:t>Inhaltsverzeichnis</w:t>
          </w:r>
        </w:p>
        <w:p w:rsidR="00835F42" w:rsidRDefault="005D6774">
          <w:pPr>
            <w:pStyle w:val="Verzeichnis1"/>
            <w:tabs>
              <w:tab w:val="right" w:leader="dot" w:pos="9062"/>
            </w:tabs>
            <w:rPr>
              <w:noProof/>
            </w:rPr>
          </w:pPr>
          <w:r w:rsidRPr="00C806FE">
            <w:fldChar w:fldCharType="begin"/>
          </w:r>
          <w:r w:rsidRPr="00C806FE">
            <w:instrText xml:space="preserve"> TOC \o "1-3" \h \z \u </w:instrText>
          </w:r>
          <w:r w:rsidRPr="00C806FE">
            <w:fldChar w:fldCharType="separate"/>
          </w:r>
          <w:hyperlink w:anchor="_Toc357780192" w:history="1">
            <w:r w:rsidR="00835F42" w:rsidRPr="00F44BC4">
              <w:rPr>
                <w:rStyle w:val="Hyperlink"/>
                <w:rFonts w:eastAsia="Times New Roman"/>
                <w:noProof/>
                <w:lang w:eastAsia="ar-SA"/>
              </w:rPr>
              <w:t>1. Zweck</w:t>
            </w:r>
            <w:r w:rsidR="00835F42">
              <w:rPr>
                <w:noProof/>
                <w:webHidden/>
              </w:rPr>
              <w:tab/>
            </w:r>
            <w:r w:rsidR="00835F42">
              <w:rPr>
                <w:noProof/>
                <w:webHidden/>
              </w:rPr>
              <w:fldChar w:fldCharType="begin"/>
            </w:r>
            <w:r w:rsidR="00835F42">
              <w:rPr>
                <w:noProof/>
                <w:webHidden/>
              </w:rPr>
              <w:instrText xml:space="preserve"> PAGEREF _Toc357780192 \h </w:instrText>
            </w:r>
            <w:r w:rsidR="00835F42">
              <w:rPr>
                <w:noProof/>
                <w:webHidden/>
              </w:rPr>
            </w:r>
            <w:r w:rsidR="00835F42">
              <w:rPr>
                <w:noProof/>
                <w:webHidden/>
              </w:rPr>
              <w:fldChar w:fldCharType="separate"/>
            </w:r>
            <w:r w:rsidR="00835F42">
              <w:rPr>
                <w:noProof/>
                <w:webHidden/>
              </w:rPr>
              <w:t>2</w:t>
            </w:r>
            <w:r w:rsidR="00835F42"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57780193" w:history="1">
            <w:r w:rsidRPr="00F44BC4">
              <w:rPr>
                <w:rStyle w:val="Hyperlink"/>
                <w:rFonts w:eastAsia="Myriad Pro"/>
                <w:noProof/>
                <w:lang w:eastAsia="ar-SA"/>
              </w:rPr>
              <w:t>2. Geltungsbereich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57780194" w:history="1">
            <w:r w:rsidRPr="00F44BC4">
              <w:rPr>
                <w:rStyle w:val="Hyperlink"/>
                <w:rFonts w:eastAsia="Myriad Pro"/>
                <w:noProof/>
                <w:lang w:eastAsia="ar-SA"/>
              </w:rPr>
              <w:t>3. Verantwortlichkeiten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57780195" w:history="1">
            <w:r w:rsidRPr="00F44BC4">
              <w:rPr>
                <w:rStyle w:val="Hyperlink"/>
                <w:rFonts w:eastAsia="Myriad Pro"/>
                <w:noProof/>
                <w:lang w:eastAsia="ar-SA"/>
              </w:rPr>
              <w:t>4. 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57780196" w:history="1">
            <w:r w:rsidRPr="00F44BC4">
              <w:rPr>
                <w:rStyle w:val="Hyperlink"/>
                <w:rFonts w:eastAsia="Myriad Pro"/>
                <w:noProof/>
                <w:lang w:eastAsia="ar-SA"/>
              </w:rPr>
              <w:t>4.1 Allgemeines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57780197" w:history="1">
            <w:r w:rsidRPr="00F44BC4">
              <w:rPr>
                <w:rStyle w:val="Hyperlink"/>
                <w:rFonts w:eastAsia="Myriad Pro"/>
                <w:noProof/>
                <w:lang w:eastAsia="ar-SA"/>
              </w:rPr>
              <w:t>4.2 Prüfung der Druckmessgeräte der Bremsprüfgeräte Pdr 1 bis Pdr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3"/>
            <w:tabs>
              <w:tab w:val="right" w:leader="dot" w:pos="9062"/>
            </w:tabs>
            <w:rPr>
              <w:noProof/>
            </w:rPr>
          </w:pPr>
          <w:hyperlink w:anchor="_Toc357780198" w:history="1">
            <w:r w:rsidRPr="00F44BC4">
              <w:rPr>
                <w:rStyle w:val="Hyperlink"/>
                <w:rFonts w:eastAsia="Myriad Pro"/>
                <w:noProof/>
                <w:lang w:eastAsia="ar-SA"/>
              </w:rPr>
              <w:t>4.2.1 HL und Netz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3"/>
            <w:tabs>
              <w:tab w:val="right" w:leader="dot" w:pos="9062"/>
            </w:tabs>
            <w:rPr>
              <w:noProof/>
            </w:rPr>
          </w:pPr>
          <w:hyperlink w:anchor="_Toc357780199" w:history="1">
            <w:r w:rsidRPr="00F44BC4">
              <w:rPr>
                <w:rStyle w:val="Hyperlink"/>
                <w:noProof/>
              </w:rPr>
              <w:t>4.2.2 T und C bei Pdr 3 mit Zusatzgerät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57780200" w:history="1">
            <w:r w:rsidRPr="00F44BC4">
              <w:rPr>
                <w:rStyle w:val="Hyperlink"/>
                <w:noProof/>
              </w:rPr>
              <w:t>4.3 Prüfung der Druckmessgeräte des Bremsprüfgeräts Pdr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3"/>
            <w:tabs>
              <w:tab w:val="right" w:leader="dot" w:pos="9062"/>
            </w:tabs>
            <w:rPr>
              <w:noProof/>
            </w:rPr>
          </w:pPr>
          <w:hyperlink w:anchor="_Toc357780201" w:history="1">
            <w:r w:rsidRPr="00F44BC4">
              <w:rPr>
                <w:rStyle w:val="Hyperlink"/>
                <w:noProof/>
              </w:rPr>
              <w:t>4.3.1 HL, C und T (T nur bei Pdr 4 mit Zusatzgerät)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3"/>
            <w:tabs>
              <w:tab w:val="right" w:leader="dot" w:pos="9062"/>
            </w:tabs>
            <w:rPr>
              <w:noProof/>
            </w:rPr>
          </w:pPr>
          <w:hyperlink w:anchor="_Toc357780202" w:history="1">
            <w:r w:rsidRPr="00F44BC4">
              <w:rPr>
                <w:rStyle w:val="Hyperlink"/>
                <w:noProof/>
              </w:rPr>
              <w:t>4.3.2 Netz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57780203" w:history="1">
            <w:r w:rsidRPr="00F44BC4">
              <w:rPr>
                <w:rStyle w:val="Hyperlink"/>
                <w:noProof/>
              </w:rPr>
              <w:t>4.4 Prüfung der Druckmessgeräte des Bremsprüfgeräts Pdr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3"/>
            <w:tabs>
              <w:tab w:val="right" w:leader="dot" w:pos="9062"/>
            </w:tabs>
            <w:rPr>
              <w:noProof/>
            </w:rPr>
          </w:pPr>
          <w:hyperlink w:anchor="_Toc357780204" w:history="1">
            <w:r w:rsidRPr="00F44BC4">
              <w:rPr>
                <w:rStyle w:val="Hyperlink"/>
                <w:noProof/>
              </w:rPr>
              <w:t>4.4.1 Netz und HBL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3"/>
            <w:tabs>
              <w:tab w:val="right" w:leader="dot" w:pos="9062"/>
            </w:tabs>
            <w:rPr>
              <w:noProof/>
            </w:rPr>
          </w:pPr>
          <w:hyperlink w:anchor="_Toc357780205" w:history="1">
            <w:r w:rsidRPr="00F44BC4">
              <w:rPr>
                <w:rStyle w:val="Hyperlink"/>
                <w:noProof/>
              </w:rPr>
              <w:t>4.4.2 HL und Gerät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3"/>
            <w:tabs>
              <w:tab w:val="right" w:leader="dot" w:pos="9062"/>
            </w:tabs>
            <w:rPr>
              <w:noProof/>
            </w:rPr>
          </w:pPr>
          <w:hyperlink w:anchor="_Toc357780206" w:history="1">
            <w:r w:rsidRPr="00F44BC4">
              <w:rPr>
                <w:rStyle w:val="Hyperlink"/>
                <w:noProof/>
              </w:rPr>
              <w:t>4.4.3 T und C bei Pdr 5 mit Zusatzgerät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57780207" w:history="1">
            <w:r w:rsidRPr="00F44BC4">
              <w:rPr>
                <w:rStyle w:val="Hyperlink"/>
                <w:noProof/>
              </w:rPr>
              <w:t>4.5 Prüfung der Druckmessgeräte des Zusatzgerätes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57780208" w:history="1">
            <w:r w:rsidRPr="00F44BC4">
              <w:rPr>
                <w:rStyle w:val="Hyperlink"/>
                <w:rFonts w:eastAsia="Times New Roman"/>
                <w:noProof/>
                <w:lang w:eastAsia="ar-SA"/>
              </w:rPr>
              <w:t>5. Mitgeltende Dokumente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57780209" w:history="1">
            <w:r w:rsidRPr="00F44BC4">
              <w:rPr>
                <w:rStyle w:val="Hyperlink"/>
                <w:rFonts w:eastAsia="Times New Roman"/>
                <w:noProof/>
                <w:lang w:eastAsia="ar-SA"/>
              </w:rPr>
              <w:t>6. Gültigkeit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F42" w:rsidRDefault="00835F42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57780210" w:history="1">
            <w:r w:rsidRPr="00F44BC4">
              <w:rPr>
                <w:rStyle w:val="Hyperlink"/>
                <w:rFonts w:eastAsia="Times New Roman"/>
                <w:noProof/>
                <w:lang w:eastAsia="ar-SA"/>
              </w:rPr>
              <w:t>7. Anlagen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_Toc357780210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6774" w:rsidRDefault="005D6774" w:rsidP="005D6774">
          <w:pPr>
            <w:rPr>
              <w:rFonts w:ascii="Myriad Pro" w:hAnsi="Myriad Pro"/>
              <w:b/>
            </w:rPr>
          </w:pPr>
          <w:r w:rsidRPr="00C806FE">
            <w:rPr>
              <w:rFonts w:ascii="Myriad Pro" w:hAnsi="Myriad Pro"/>
            </w:rPr>
            <w:fldChar w:fldCharType="end"/>
          </w:r>
        </w:p>
        <w:p w:rsidR="005D6774" w:rsidRDefault="005D6774" w:rsidP="005D6774">
          <w:pPr>
            <w:rPr>
              <w:rFonts w:ascii="Myriad Pro" w:hAnsi="Myriad Pro"/>
              <w:b/>
            </w:rPr>
          </w:pPr>
        </w:p>
        <w:p w:rsidR="005D6774" w:rsidRPr="00F345AC" w:rsidRDefault="00EB1CD6" w:rsidP="005D6774">
          <w:pPr>
            <w:rPr>
              <w:rFonts w:ascii="Myriad Pro" w:hAnsi="Myriad Pro"/>
            </w:rPr>
          </w:pPr>
        </w:p>
      </w:sdtContent>
    </w:sdt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D6774" w:rsidRPr="00F345AC" w:rsidTr="00EB1CD6">
        <w:trPr>
          <w:cantSplit/>
          <w:trHeight w:val="462"/>
        </w:trPr>
        <w:tc>
          <w:tcPr>
            <w:tcW w:w="4606" w:type="dxa"/>
            <w:vAlign w:val="center"/>
          </w:tcPr>
          <w:p w:rsidR="005D6774" w:rsidRPr="00F345AC" w:rsidRDefault="005D6774" w:rsidP="00EB1CD6">
            <w:pPr>
              <w:jc w:val="center"/>
            </w:pPr>
            <w:r w:rsidRPr="00F345AC">
              <w:t>ERSTELLT</w:t>
            </w:r>
          </w:p>
        </w:tc>
        <w:tc>
          <w:tcPr>
            <w:tcW w:w="4606" w:type="dxa"/>
            <w:vAlign w:val="center"/>
          </w:tcPr>
          <w:p w:rsidR="005D6774" w:rsidRPr="00F345AC" w:rsidRDefault="005D6774" w:rsidP="00EB1CD6">
            <w:pPr>
              <w:jc w:val="center"/>
            </w:pPr>
            <w:r w:rsidRPr="005F7B3C">
              <w:t>FREIGEGEBEN</w:t>
            </w:r>
          </w:p>
        </w:tc>
      </w:tr>
      <w:tr w:rsidR="005D6774" w:rsidRPr="00F345AC" w:rsidTr="00EB1CD6">
        <w:trPr>
          <w:cantSplit/>
          <w:trHeight w:val="1844"/>
        </w:trPr>
        <w:tc>
          <w:tcPr>
            <w:tcW w:w="4606" w:type="dxa"/>
          </w:tcPr>
          <w:p w:rsidR="005D6774" w:rsidRPr="00F345AC" w:rsidRDefault="005D6774" w:rsidP="00EB1CD6">
            <w:pPr>
              <w:spacing w:before="120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Am:</w:t>
            </w:r>
            <w:r>
              <w:rPr>
                <w:rFonts w:ascii="Myriad Pro" w:hAnsi="Myriad Pro"/>
              </w:rPr>
              <w:t xml:space="preserve"> </w:t>
            </w:r>
            <w:r w:rsidR="00FB5FE0">
              <w:rPr>
                <w:rFonts w:ascii="Myriad Pro" w:hAnsi="Myriad Pro"/>
              </w:rPr>
              <w:t xml:space="preserve"> 31.05.2013</w:t>
            </w: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Von:</w:t>
            </w:r>
            <w:r>
              <w:rPr>
                <w:rFonts w:ascii="Myriad Pro" w:hAnsi="Myriad Pro"/>
              </w:rPr>
              <w:t xml:space="preserve"> </w:t>
            </w:r>
            <w:r w:rsidR="00FB5FE0">
              <w:rPr>
                <w:rFonts w:ascii="Myriad Pro" w:hAnsi="Myriad Pro"/>
              </w:rPr>
              <w:t>Stefan Marschall</w:t>
            </w: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Unterschrift:</w:t>
            </w: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</w:p>
        </w:tc>
        <w:tc>
          <w:tcPr>
            <w:tcW w:w="4606" w:type="dxa"/>
          </w:tcPr>
          <w:p w:rsidR="005D6774" w:rsidRPr="00F345AC" w:rsidRDefault="005D6774" w:rsidP="00EB1CD6">
            <w:pPr>
              <w:spacing w:before="120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Am</w:t>
            </w:r>
            <w:r w:rsidRPr="00F345AC">
              <w:rPr>
                <w:rFonts w:ascii="Myriad Pro" w:hAnsi="Myriad Pro"/>
              </w:rPr>
              <w:t>:</w:t>
            </w:r>
            <w:r>
              <w:rPr>
                <w:rFonts w:ascii="Myriad Pro" w:hAnsi="Myriad Pro"/>
              </w:rPr>
              <w:t xml:space="preserve"> </w:t>
            </w:r>
            <w:r w:rsidR="00FB5FE0">
              <w:rPr>
                <w:rFonts w:ascii="Myriad Pro" w:hAnsi="Myriad Pro"/>
              </w:rPr>
              <w:t xml:space="preserve"> 31.05.2013</w:t>
            </w: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Von:</w:t>
            </w:r>
            <w:r>
              <w:rPr>
                <w:rFonts w:ascii="Myriad Pro" w:hAnsi="Myriad Pro"/>
              </w:rPr>
              <w:t xml:space="preserve"> </w:t>
            </w:r>
            <w:r w:rsidR="00FB5FE0">
              <w:rPr>
                <w:rFonts w:ascii="Myriad Pro" w:hAnsi="Myriad Pro"/>
              </w:rPr>
              <w:t>Robert Hummel</w:t>
            </w: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  <w:bookmarkStart w:id="0" w:name="_GoBack"/>
            <w:bookmarkEnd w:id="0"/>
            <w:r w:rsidRPr="00F345AC">
              <w:rPr>
                <w:rFonts w:ascii="Myriad Pro" w:hAnsi="Myriad Pro"/>
              </w:rPr>
              <w:t>Unterschrift:</w:t>
            </w: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</w:p>
          <w:p w:rsidR="005D6774" w:rsidRPr="00F345AC" w:rsidRDefault="005D6774" w:rsidP="00EB1CD6">
            <w:pPr>
              <w:rPr>
                <w:rFonts w:ascii="Myriad Pro" w:hAnsi="Myriad Pro"/>
              </w:rPr>
            </w:pPr>
          </w:p>
        </w:tc>
      </w:tr>
    </w:tbl>
    <w:p w:rsidR="005D6774" w:rsidRDefault="005D6774" w:rsidP="005D6774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:rsidR="005D6774" w:rsidRPr="002629E3" w:rsidRDefault="005D6774" w:rsidP="005D6774">
      <w:pPr>
        <w:pStyle w:val="berschrift1"/>
        <w:rPr>
          <w:rFonts w:eastAsia="Times New Roman"/>
          <w:lang w:eastAsia="ar-SA"/>
        </w:rPr>
      </w:pPr>
      <w:bookmarkStart w:id="1" w:name="_Toc357780192"/>
      <w:r>
        <w:rPr>
          <w:rFonts w:eastAsia="Times New Roman"/>
          <w:lang w:eastAsia="ar-SA"/>
        </w:rPr>
        <w:lastRenderedPageBreak/>
        <w:t xml:space="preserve">1. </w:t>
      </w:r>
      <w:r w:rsidRPr="002629E3">
        <w:rPr>
          <w:rFonts w:eastAsia="Times New Roman"/>
          <w:lang w:eastAsia="ar-SA"/>
        </w:rPr>
        <w:t>Zweck</w:t>
      </w:r>
      <w:bookmarkEnd w:id="1"/>
    </w:p>
    <w:p w:rsidR="005D6774" w:rsidRPr="005F2782" w:rsidRDefault="005D6774" w:rsidP="005D6774">
      <w:pPr>
        <w:suppressAutoHyphens/>
        <w:rPr>
          <w:rFonts w:ascii="Myriad Pro" w:eastAsia="Myriad Pro" w:hAnsi="Myriad Pro" w:cs="Myriad Pro"/>
          <w:lang w:eastAsia="ar-SA"/>
        </w:rPr>
      </w:pPr>
      <w:r w:rsidRPr="005F2782">
        <w:rPr>
          <w:rFonts w:ascii="Myriad Pro" w:eastAsia="Myriad Pro" w:hAnsi="Myriad Pro" w:cs="Myriad Pro"/>
          <w:lang w:eastAsia="ar-SA"/>
        </w:rPr>
        <w:t xml:space="preserve">Zweck der vorliegenden </w:t>
      </w:r>
      <w:r w:rsidR="00B15D85">
        <w:rPr>
          <w:rFonts w:ascii="Myriad Pro" w:eastAsia="Myriad Pro" w:hAnsi="Myriad Pro" w:cs="Myriad Pro"/>
          <w:lang w:eastAsia="ar-SA"/>
        </w:rPr>
        <w:t>TW</w:t>
      </w:r>
      <w:r w:rsidRPr="005F2782">
        <w:rPr>
          <w:rFonts w:ascii="Myriad Pro" w:eastAsia="Myriad Pro" w:hAnsi="Myriad Pro" w:cs="Myriad Pro"/>
          <w:lang w:eastAsia="ar-SA"/>
        </w:rPr>
        <w:t xml:space="preserve"> ist die </w:t>
      </w:r>
      <w:r w:rsidR="00B15D85">
        <w:rPr>
          <w:rFonts w:ascii="Myriad Pro" w:eastAsia="Myriad Pro" w:hAnsi="Myriad Pro" w:cs="Myriad Pro"/>
          <w:lang w:eastAsia="ar-SA"/>
        </w:rPr>
        <w:t>Anleitung zum Prüfen der Druckmessgeräte Pdr 1 bis 5 sowie der Zusatzgeräte mittels Prüfvorrichtung.</w:t>
      </w:r>
    </w:p>
    <w:p w:rsidR="005D6774" w:rsidRDefault="005D6774" w:rsidP="005D6774">
      <w:pPr>
        <w:pStyle w:val="berschrift1"/>
        <w:rPr>
          <w:rFonts w:eastAsia="Myriad Pro"/>
          <w:lang w:eastAsia="ar-SA"/>
        </w:rPr>
      </w:pPr>
      <w:bookmarkStart w:id="2" w:name="_Toc357780193"/>
      <w:r>
        <w:rPr>
          <w:rFonts w:eastAsia="Myriad Pro"/>
          <w:lang w:eastAsia="ar-SA"/>
        </w:rPr>
        <w:t>2. Geltungsbereich</w:t>
      </w:r>
      <w:bookmarkEnd w:id="2"/>
    </w:p>
    <w:p w:rsidR="005D6774" w:rsidRDefault="005D6774" w:rsidP="005D6774">
      <w:pPr>
        <w:tabs>
          <w:tab w:val="left" w:pos="6521"/>
        </w:tabs>
        <w:rPr>
          <w:rFonts w:ascii="MyriadPro-Regular" w:hAnsi="MyriadPro-Regular" w:cs="MyriadPro-Regular"/>
          <w:color w:val="000000"/>
        </w:rPr>
      </w:pPr>
      <w:r>
        <w:rPr>
          <w:rFonts w:ascii="MyriadPro-Regular" w:hAnsi="MyriadPro-Regular" w:cs="MyriadPro-Regular"/>
          <w:color w:val="000000"/>
        </w:rPr>
        <w:t xml:space="preserve">Der Geltungsbereich umfasst die </w:t>
      </w:r>
      <w:r w:rsidRPr="0000264A">
        <w:rPr>
          <w:rFonts w:ascii="MyriadPro-Regular" w:hAnsi="MyriadPro-Regular" w:cs="MyriadPro-Regular"/>
          <w:i/>
          <w:color w:val="000000"/>
        </w:rPr>
        <w:t>waggon24</w:t>
      </w:r>
      <w:r>
        <w:rPr>
          <w:rFonts w:ascii="MyriadPro-Regular" w:hAnsi="MyriadPro-Regular" w:cs="MyriadPro-Regular"/>
          <w:color w:val="000000"/>
        </w:rPr>
        <w:t xml:space="preserve">, insbesondere den Bereich </w:t>
      </w:r>
      <w:r w:rsidR="00B15D85">
        <w:rPr>
          <w:rFonts w:ascii="MyriadPro-Regular" w:hAnsi="MyriadPro-Regular" w:cs="MyriadPro-Regular"/>
          <w:color w:val="000000"/>
        </w:rPr>
        <w:t>mobilen Service</w:t>
      </w:r>
      <w:r>
        <w:rPr>
          <w:rFonts w:ascii="MyriadPro-Regular" w:hAnsi="MyriadPro-Regular" w:cs="MyriadPro-Regular"/>
          <w:color w:val="000000"/>
        </w:rPr>
        <w:t xml:space="preserve"> entsprechend Organigramm.</w:t>
      </w:r>
    </w:p>
    <w:p w:rsidR="005D6774" w:rsidRDefault="005D6774" w:rsidP="005D6774">
      <w:pPr>
        <w:pStyle w:val="berschrift1"/>
        <w:rPr>
          <w:rFonts w:eastAsia="Myriad Pro"/>
          <w:lang w:eastAsia="ar-SA"/>
        </w:rPr>
      </w:pPr>
      <w:bookmarkStart w:id="3" w:name="_Toc357780194"/>
      <w:r>
        <w:rPr>
          <w:rFonts w:eastAsia="Myriad Pro"/>
          <w:lang w:eastAsia="ar-SA"/>
        </w:rPr>
        <w:t>3. Verantwortlichkeiten</w:t>
      </w:r>
      <w:bookmarkEnd w:id="3"/>
    </w:p>
    <w:tbl>
      <w:tblPr>
        <w:tblStyle w:val="Tabellenraster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35"/>
        <w:gridCol w:w="680"/>
        <w:gridCol w:w="680"/>
        <w:gridCol w:w="680"/>
        <w:gridCol w:w="680"/>
        <w:gridCol w:w="1436"/>
      </w:tblGrid>
      <w:tr w:rsidR="005D6774" w:rsidTr="00EB1CD6">
        <w:trPr>
          <w:jc w:val="center"/>
        </w:trPr>
        <w:tc>
          <w:tcPr>
            <w:tcW w:w="4935" w:type="dxa"/>
            <w:vMerge w:val="restart"/>
            <w:vAlign w:val="center"/>
          </w:tcPr>
          <w:p w:rsidR="005D6774" w:rsidRPr="00B00841" w:rsidRDefault="005D6774" w:rsidP="00EB1CD6">
            <w:pPr>
              <w:tabs>
                <w:tab w:val="left" w:pos="6521"/>
              </w:tabs>
              <w:rPr>
                <w:rFonts w:ascii="MyriadPro-Regular" w:hAnsi="MyriadPro-Regular" w:cs="MyriadPro-Regular"/>
                <w:b/>
                <w:color w:val="000000"/>
              </w:rPr>
            </w:pPr>
            <w:r w:rsidRPr="00B00841">
              <w:rPr>
                <w:rFonts w:ascii="MyriadPro-Regular" w:hAnsi="MyriadPro-Regular" w:cs="MyriadPro-Regular"/>
                <w:b/>
                <w:color w:val="000000"/>
              </w:rPr>
              <w:t>Aufgaben / Verfahren</w:t>
            </w:r>
          </w:p>
        </w:tc>
        <w:tc>
          <w:tcPr>
            <w:tcW w:w="4156" w:type="dxa"/>
            <w:gridSpan w:val="5"/>
          </w:tcPr>
          <w:p w:rsidR="005D6774" w:rsidRPr="00B00841" w:rsidRDefault="005D6774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b/>
                <w:color w:val="000000"/>
              </w:rPr>
            </w:pPr>
            <w:r w:rsidRPr="00B00841">
              <w:rPr>
                <w:rFonts w:ascii="MyriadPro-Regular" w:hAnsi="MyriadPro-Regular" w:cs="MyriadPro-Regular"/>
                <w:b/>
                <w:color w:val="000000"/>
              </w:rPr>
              <w:t>Verantwortung</w:t>
            </w:r>
          </w:p>
        </w:tc>
      </w:tr>
      <w:tr w:rsidR="00B15D85" w:rsidTr="00EB1CD6">
        <w:trPr>
          <w:jc w:val="center"/>
        </w:trPr>
        <w:tc>
          <w:tcPr>
            <w:tcW w:w="4935" w:type="dxa"/>
            <w:vMerge/>
          </w:tcPr>
          <w:p w:rsidR="00B15D85" w:rsidRDefault="00B15D85" w:rsidP="00EB1CD6">
            <w:pPr>
              <w:tabs>
                <w:tab w:val="left" w:pos="6521"/>
              </w:tabs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TL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QMB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OM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MA</w:t>
            </w:r>
          </w:p>
        </w:tc>
        <w:tc>
          <w:tcPr>
            <w:tcW w:w="1436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Werk Fulda</w:t>
            </w:r>
          </w:p>
        </w:tc>
      </w:tr>
      <w:tr w:rsidR="00B15D85" w:rsidTr="00EB1CD6">
        <w:trPr>
          <w:jc w:val="center"/>
        </w:trPr>
        <w:tc>
          <w:tcPr>
            <w:tcW w:w="4935" w:type="dxa"/>
          </w:tcPr>
          <w:p w:rsidR="00B15D85" w:rsidRDefault="00B15D85" w:rsidP="00EB1CD6">
            <w:pPr>
              <w:tabs>
                <w:tab w:val="left" w:pos="6521"/>
              </w:tabs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Aktualisierung dieser TW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M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M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I</w:t>
            </w:r>
          </w:p>
        </w:tc>
        <w:tc>
          <w:tcPr>
            <w:tcW w:w="1436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</w:tr>
      <w:tr w:rsidR="00B15D85" w:rsidTr="00EB1CD6">
        <w:trPr>
          <w:jc w:val="center"/>
        </w:trPr>
        <w:tc>
          <w:tcPr>
            <w:tcW w:w="4935" w:type="dxa"/>
          </w:tcPr>
          <w:p w:rsidR="00B15D85" w:rsidRDefault="00B15D85" w:rsidP="00EB1CD6">
            <w:pPr>
              <w:tabs>
                <w:tab w:val="left" w:pos="6521"/>
              </w:tabs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Selbstprüfung Pdr 1 jährlich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1436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</w:tr>
      <w:tr w:rsidR="00B15D85" w:rsidTr="00EB1CD6">
        <w:trPr>
          <w:jc w:val="center"/>
        </w:trPr>
        <w:tc>
          <w:tcPr>
            <w:tcW w:w="4935" w:type="dxa"/>
          </w:tcPr>
          <w:p w:rsidR="00B15D85" w:rsidRDefault="00B15D85" w:rsidP="00B15D85">
            <w:pPr>
              <w:tabs>
                <w:tab w:val="left" w:pos="6521"/>
              </w:tabs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Selbstprüfung Pdr 2 bis Pdr 5 (und FP) halbjährlich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1436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</w:tr>
      <w:tr w:rsidR="00B15D85" w:rsidTr="00EB1CD6">
        <w:trPr>
          <w:jc w:val="center"/>
        </w:trPr>
        <w:tc>
          <w:tcPr>
            <w:tcW w:w="4935" w:type="dxa"/>
          </w:tcPr>
          <w:p w:rsidR="00B15D85" w:rsidRDefault="00B15D85" w:rsidP="00EB1CD6">
            <w:pPr>
              <w:tabs>
                <w:tab w:val="left" w:pos="6521"/>
              </w:tabs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Selbstprüfung Zusatzgeräte halbjährlich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1436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</w:tr>
      <w:tr w:rsidR="00B15D85" w:rsidTr="00EB1CD6">
        <w:trPr>
          <w:jc w:val="center"/>
        </w:trPr>
        <w:tc>
          <w:tcPr>
            <w:tcW w:w="4935" w:type="dxa"/>
          </w:tcPr>
          <w:p w:rsidR="00B15D85" w:rsidRDefault="00B15D85" w:rsidP="00EB1CD6">
            <w:pPr>
              <w:tabs>
                <w:tab w:val="left" w:pos="6521"/>
              </w:tabs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Dokumentation der Prüfungen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680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  <w:r>
              <w:rPr>
                <w:rFonts w:ascii="MyriadPro-Regular" w:hAnsi="MyriadPro-Regular" w:cs="MyriadPro-Regular"/>
                <w:color w:val="000000"/>
              </w:rPr>
              <w:t>D</w:t>
            </w:r>
          </w:p>
        </w:tc>
        <w:tc>
          <w:tcPr>
            <w:tcW w:w="1436" w:type="dxa"/>
          </w:tcPr>
          <w:p w:rsidR="00B15D85" w:rsidRDefault="00B15D85" w:rsidP="00EB1CD6">
            <w:pPr>
              <w:tabs>
                <w:tab w:val="left" w:pos="6521"/>
              </w:tabs>
              <w:jc w:val="center"/>
              <w:rPr>
                <w:rFonts w:ascii="MyriadPro-Regular" w:hAnsi="MyriadPro-Regular" w:cs="MyriadPro-Regular"/>
                <w:color w:val="000000"/>
              </w:rPr>
            </w:pPr>
          </w:p>
        </w:tc>
      </w:tr>
    </w:tbl>
    <w:p w:rsidR="005D6774" w:rsidRDefault="005D6774" w:rsidP="005D6774">
      <w:pPr>
        <w:tabs>
          <w:tab w:val="left" w:pos="6521"/>
        </w:tabs>
        <w:jc w:val="center"/>
        <w:rPr>
          <w:rFonts w:ascii="MyriadPro-Regular" w:hAnsi="MyriadPro-Regular" w:cs="MyriadPro-Regular"/>
          <w:color w:val="000000"/>
        </w:rPr>
      </w:pPr>
      <w:r>
        <w:rPr>
          <w:rFonts w:ascii="MyriadPro-Regular" w:hAnsi="MyriadPro-Regular" w:cs="MyriadPro-Regular"/>
          <w:color w:val="000000"/>
        </w:rPr>
        <w:t>D = Durchführungsverantwortung     I = Information     M = Mitwirkung</w:t>
      </w:r>
    </w:p>
    <w:p w:rsidR="005D6774" w:rsidRDefault="005D6774" w:rsidP="005D6774">
      <w:pPr>
        <w:pStyle w:val="berschrift1"/>
        <w:rPr>
          <w:rFonts w:eastAsia="Myriad Pro"/>
          <w:lang w:eastAsia="ar-SA"/>
        </w:rPr>
      </w:pPr>
      <w:bookmarkStart w:id="4" w:name="_Toc357780195"/>
      <w:r>
        <w:rPr>
          <w:rFonts w:eastAsia="Myriad Pro"/>
          <w:lang w:eastAsia="ar-SA"/>
        </w:rPr>
        <w:t>4. Beschreibung</w:t>
      </w:r>
      <w:bookmarkEnd w:id="4"/>
    </w:p>
    <w:p w:rsidR="005D6774" w:rsidRDefault="005D6774" w:rsidP="005D6774">
      <w:pPr>
        <w:pStyle w:val="berschrift2"/>
        <w:rPr>
          <w:rFonts w:eastAsia="Myriad Pro"/>
          <w:lang w:eastAsia="ar-SA"/>
        </w:rPr>
      </w:pPr>
      <w:bookmarkStart w:id="5" w:name="_Toc357780196"/>
      <w:r w:rsidRPr="00B00841">
        <w:rPr>
          <w:rFonts w:eastAsia="Myriad Pro"/>
          <w:lang w:eastAsia="ar-SA"/>
        </w:rPr>
        <w:t xml:space="preserve">4.1 </w:t>
      </w:r>
      <w:r w:rsidR="00B15D85">
        <w:rPr>
          <w:rFonts w:eastAsia="Myriad Pro"/>
          <w:lang w:eastAsia="ar-SA"/>
        </w:rPr>
        <w:t>Allgemeines</w:t>
      </w:r>
      <w:bookmarkEnd w:id="5"/>
    </w:p>
    <w:p w:rsidR="00B15D85" w:rsidRDefault="00B15D85" w:rsidP="00B15D85">
      <w:pPr>
        <w:rPr>
          <w:lang w:eastAsia="ar-SA"/>
        </w:rPr>
      </w:pPr>
      <w:r>
        <w:rPr>
          <w:lang w:eastAsia="ar-SA"/>
        </w:rPr>
        <w:t>Nach DS 91502, Anhang 21, sind die Bremsprüfgeräte Pdr 1 jährlich und die Pdr 2 bis Pdr 5 (und FP) sowie die Zusatzgeräte halbjährlich durch den Betreiber zu prüfen.</w:t>
      </w:r>
    </w:p>
    <w:p w:rsidR="00B15D85" w:rsidRDefault="00B15D85" w:rsidP="00B15D85">
      <w:pPr>
        <w:rPr>
          <w:lang w:eastAsia="ar-SA"/>
        </w:rPr>
      </w:pPr>
      <w:r>
        <w:rPr>
          <w:lang w:eastAsia="ar-SA"/>
        </w:rPr>
        <w:t xml:space="preserve">Im Rahmen dieser Prüfung sind die Druckmessgeräte auf Funktion und Anzeigegenauigkeit unter Verwendung eines Druckmessgerätes der Genauigkeitsklasse 0,6 zu überprüfen. Hierzu kann die </w:t>
      </w:r>
      <w:r w:rsidR="00946041">
        <w:rPr>
          <w:lang w:eastAsia="ar-SA"/>
        </w:rPr>
        <w:t xml:space="preserve">in </w:t>
      </w:r>
      <w:r w:rsidR="00946041">
        <w:rPr>
          <w:lang w:eastAsia="ar-SA"/>
        </w:rPr>
        <w:fldChar w:fldCharType="begin"/>
      </w:r>
      <w:r w:rsidR="00946041">
        <w:rPr>
          <w:lang w:eastAsia="ar-SA"/>
        </w:rPr>
        <w:instrText xml:space="preserve"> REF _Ref357776609 \h </w:instrText>
      </w:r>
      <w:r w:rsidR="00946041">
        <w:rPr>
          <w:lang w:eastAsia="ar-SA"/>
        </w:rPr>
      </w:r>
      <w:r w:rsidR="00946041">
        <w:rPr>
          <w:lang w:eastAsia="ar-SA"/>
        </w:rPr>
        <w:fldChar w:fldCharType="separate"/>
      </w:r>
      <w:r w:rsidR="00835F42">
        <w:t xml:space="preserve">Abbildung </w:t>
      </w:r>
      <w:r w:rsidR="00835F42">
        <w:rPr>
          <w:noProof/>
        </w:rPr>
        <w:t>1</w:t>
      </w:r>
      <w:r w:rsidR="00946041">
        <w:rPr>
          <w:lang w:eastAsia="ar-SA"/>
        </w:rPr>
        <w:fldChar w:fldCharType="end"/>
      </w:r>
      <w:r w:rsidR="00946041">
        <w:rPr>
          <w:lang w:eastAsia="ar-SA"/>
        </w:rPr>
        <w:t xml:space="preserve"> </w:t>
      </w:r>
      <w:r>
        <w:rPr>
          <w:lang w:eastAsia="ar-SA"/>
        </w:rPr>
        <w:t>dargestellte</w:t>
      </w:r>
      <w:r w:rsidR="004A75DA">
        <w:rPr>
          <w:lang w:eastAsia="ar-SA"/>
        </w:rPr>
        <w:t xml:space="preserve"> Prüfvorrichtung verwendet werden.</w:t>
      </w:r>
    </w:p>
    <w:p w:rsidR="004A75DA" w:rsidRDefault="00946041" w:rsidP="00B15D85">
      <w:pPr>
        <w:rPr>
          <w:lang w:eastAsia="ar-SA"/>
        </w:rPr>
      </w:pPr>
      <w:r>
        <w:rPr>
          <w:lang w:eastAsia="ar-SA"/>
        </w:rPr>
        <w:t>Die Verwendung dieser Prüfvorrichtung ist in den Punkten 4.2 bis 4.5 erläutert.</w:t>
      </w:r>
    </w:p>
    <w:p w:rsidR="00946041" w:rsidRDefault="00946041" w:rsidP="00946041">
      <w:pPr>
        <w:keepNext/>
      </w:pPr>
      <w:r>
        <w:rPr>
          <w:noProof/>
        </w:rPr>
        <w:lastRenderedPageBreak/>
        <w:drawing>
          <wp:inline distT="0" distB="0" distL="0" distR="0" wp14:anchorId="55C03C8C" wp14:editId="4ADFB41B">
            <wp:extent cx="5410200" cy="7934683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5146" cy="794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41" w:rsidRPr="00B15D85" w:rsidRDefault="00946041" w:rsidP="00946041">
      <w:pPr>
        <w:pStyle w:val="Beschriftung"/>
        <w:rPr>
          <w:lang w:eastAsia="ar-SA"/>
        </w:rPr>
      </w:pPr>
      <w:bookmarkStart w:id="6" w:name="_Ref357776609"/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 w:rsidR="00835F42">
        <w:rPr>
          <w:noProof/>
        </w:rPr>
        <w:t>1</w:t>
      </w:r>
      <w:r>
        <w:fldChar w:fldCharType="end"/>
      </w:r>
      <w:bookmarkEnd w:id="6"/>
      <w:r>
        <w:t>: Prüfvorrichtung zur Druckmessprüfung</w:t>
      </w:r>
    </w:p>
    <w:p w:rsidR="005D6774" w:rsidRDefault="005D6774" w:rsidP="005D6774">
      <w:pPr>
        <w:pStyle w:val="berschrift2"/>
        <w:rPr>
          <w:rFonts w:eastAsia="Myriad Pro"/>
          <w:lang w:eastAsia="ar-SA"/>
        </w:rPr>
      </w:pPr>
      <w:bookmarkStart w:id="7" w:name="_Toc357780197"/>
      <w:r w:rsidRPr="00B00841">
        <w:rPr>
          <w:rFonts w:eastAsia="Myriad Pro"/>
          <w:lang w:eastAsia="ar-SA"/>
        </w:rPr>
        <w:lastRenderedPageBreak/>
        <w:t>4.</w:t>
      </w:r>
      <w:r>
        <w:rPr>
          <w:rFonts w:eastAsia="Myriad Pro"/>
          <w:lang w:eastAsia="ar-SA"/>
        </w:rPr>
        <w:t>2</w:t>
      </w:r>
      <w:r w:rsidRPr="00B00841">
        <w:rPr>
          <w:rFonts w:eastAsia="Myriad Pro"/>
          <w:lang w:eastAsia="ar-SA"/>
        </w:rPr>
        <w:t xml:space="preserve"> </w:t>
      </w:r>
      <w:r w:rsidR="00946041">
        <w:rPr>
          <w:rFonts w:eastAsia="Myriad Pro"/>
          <w:lang w:eastAsia="ar-SA"/>
        </w:rPr>
        <w:t>Prüfung der Druckmessgeräte der Bremsprüfgeräte Pdr 1 bis Pdr 3</w:t>
      </w:r>
      <w:bookmarkEnd w:id="7"/>
    </w:p>
    <w:p w:rsidR="00946041" w:rsidRPr="00946041" w:rsidRDefault="00946041" w:rsidP="00946041">
      <w:pPr>
        <w:rPr>
          <w:lang w:eastAsia="ar-SA"/>
        </w:rPr>
      </w:pPr>
      <w:r>
        <w:rPr>
          <w:lang w:eastAsia="ar-SA"/>
        </w:rPr>
        <w:t>Anschluss „Netz“ an Druckluftversorgung anschließen.</w:t>
      </w:r>
    </w:p>
    <w:p w:rsidR="005D6774" w:rsidRDefault="005D6774" w:rsidP="005D6774">
      <w:pPr>
        <w:pStyle w:val="berschrift3"/>
        <w:rPr>
          <w:rFonts w:eastAsia="Myriad Pro"/>
          <w:lang w:eastAsia="ar-SA"/>
        </w:rPr>
      </w:pPr>
      <w:bookmarkStart w:id="8" w:name="_Toc330909357"/>
      <w:bookmarkStart w:id="9" w:name="_Toc357780198"/>
      <w:r w:rsidRPr="00B00841">
        <w:rPr>
          <w:rFonts w:eastAsia="Myriad Pro"/>
          <w:lang w:eastAsia="ar-SA"/>
        </w:rPr>
        <w:t>4.</w:t>
      </w:r>
      <w:r>
        <w:rPr>
          <w:rFonts w:eastAsia="Myriad Pro"/>
          <w:lang w:eastAsia="ar-SA"/>
        </w:rPr>
        <w:t>2.1</w:t>
      </w:r>
      <w:r w:rsidRPr="00B00841">
        <w:rPr>
          <w:rFonts w:eastAsia="Myriad Pro"/>
          <w:lang w:eastAsia="ar-SA"/>
        </w:rPr>
        <w:t xml:space="preserve"> </w:t>
      </w:r>
      <w:bookmarkEnd w:id="8"/>
      <w:r w:rsidR="00946041">
        <w:rPr>
          <w:rFonts w:eastAsia="Myriad Pro"/>
          <w:lang w:eastAsia="ar-SA"/>
        </w:rPr>
        <w:t>HL und Netz</w:t>
      </w:r>
      <w:bookmarkEnd w:id="9"/>
    </w:p>
    <w:p w:rsidR="00946041" w:rsidRDefault="00946041" w:rsidP="00946041">
      <w:pPr>
        <w:pStyle w:val="Listenabsatz"/>
        <w:numPr>
          <w:ilvl w:val="0"/>
          <w:numId w:val="20"/>
        </w:numPr>
        <w:spacing w:after="0"/>
      </w:pPr>
      <w:r>
        <w:t>Prüfvorrichtung an Anschluss „HL“ anschließen.</w:t>
      </w:r>
    </w:p>
    <w:p w:rsidR="00946041" w:rsidRDefault="00946041" w:rsidP="00946041">
      <w:pPr>
        <w:pStyle w:val="Listenabsatz"/>
        <w:numPr>
          <w:ilvl w:val="0"/>
          <w:numId w:val="20"/>
        </w:numPr>
        <w:spacing w:after="0"/>
      </w:pPr>
      <w:r>
        <w:t>Bremsventil in Füllstellung legen.</w:t>
      </w:r>
    </w:p>
    <w:p w:rsidR="00946041" w:rsidRDefault="00946041" w:rsidP="00946041">
      <w:pPr>
        <w:pStyle w:val="Listenabsatz"/>
        <w:numPr>
          <w:ilvl w:val="0"/>
          <w:numId w:val="20"/>
        </w:numPr>
        <w:spacing w:after="0"/>
      </w:pPr>
      <w:r>
        <w:t>HL-Druckmessgerät mit dem Vergleichsdruckmessgerät vergleichen;</w:t>
      </w:r>
    </w:p>
    <w:p w:rsidR="00946041" w:rsidRDefault="00946041" w:rsidP="00946041">
      <w:pPr>
        <w:pStyle w:val="Listenabsatz"/>
        <w:spacing w:after="0"/>
      </w:pPr>
      <w:r>
        <w:t>Zulässige Druckabweichung +/- 0,1 bar.</w:t>
      </w:r>
    </w:p>
    <w:p w:rsidR="00946041" w:rsidRDefault="00946041" w:rsidP="00946041">
      <w:pPr>
        <w:pStyle w:val="Listenabsatz"/>
        <w:numPr>
          <w:ilvl w:val="0"/>
          <w:numId w:val="20"/>
        </w:numPr>
        <w:spacing w:after="0"/>
      </w:pPr>
      <w:r>
        <w:t>Bremsventil in Füllstoßstellung legen.</w:t>
      </w:r>
    </w:p>
    <w:p w:rsidR="00F40EF9" w:rsidRDefault="00F40EF9" w:rsidP="00F40EF9">
      <w:pPr>
        <w:pStyle w:val="Listenabsatz"/>
        <w:numPr>
          <w:ilvl w:val="0"/>
          <w:numId w:val="20"/>
        </w:numPr>
        <w:spacing w:after="0"/>
      </w:pPr>
      <w:r>
        <w:t>Netzdruckmessgerät mit dem Vergleichsdruckmessgerät vergleichen;</w:t>
      </w:r>
    </w:p>
    <w:p w:rsidR="00F40EF9" w:rsidRDefault="00F40EF9" w:rsidP="00F40EF9">
      <w:pPr>
        <w:pStyle w:val="Listenabsatz"/>
        <w:spacing w:after="0"/>
      </w:pPr>
      <w:r>
        <w:t>Zulässige Druckabweichung +/- 0,2 bar.</w:t>
      </w:r>
    </w:p>
    <w:p w:rsidR="00F40EF9" w:rsidRDefault="00F40EF9" w:rsidP="00F40EF9">
      <w:pPr>
        <w:pStyle w:val="berschrift3"/>
      </w:pPr>
      <w:bookmarkStart w:id="10" w:name="_Toc357780199"/>
      <w:r>
        <w:t>4.2.2 T und C bei Pdr 3 mit Zusatzgerät</w:t>
      </w:r>
      <w:bookmarkEnd w:id="10"/>
    </w:p>
    <w:p w:rsidR="00F40EF9" w:rsidRDefault="00F40EF9" w:rsidP="00F40EF9">
      <w:r>
        <w:t>Anschlusszuleitung des Zusatzgeräts ist am Pdr 3 angeschlossen.</w:t>
      </w:r>
    </w:p>
    <w:p w:rsidR="00F40EF9" w:rsidRDefault="00F40EF9" w:rsidP="00F40EF9">
      <w:pPr>
        <w:pStyle w:val="Listenabsatz"/>
        <w:numPr>
          <w:ilvl w:val="0"/>
          <w:numId w:val="21"/>
        </w:numPr>
        <w:spacing w:after="0"/>
      </w:pPr>
      <w:r>
        <w:t xml:space="preserve">Anschlüsse „T“ und „C“ des Zusatzgeräts (ggf. in 2 Schritten) an </w:t>
      </w:r>
      <w:r w:rsidR="00FB5FE0">
        <w:t xml:space="preserve">die </w:t>
      </w:r>
      <w:r>
        <w:t>Prüfvorrichtung anschließen.</w:t>
      </w:r>
    </w:p>
    <w:p w:rsidR="00F40EF9" w:rsidRDefault="00F40EF9" w:rsidP="00F40EF9">
      <w:pPr>
        <w:pStyle w:val="Listenabsatz"/>
        <w:numPr>
          <w:ilvl w:val="0"/>
          <w:numId w:val="21"/>
        </w:numPr>
        <w:spacing w:after="0"/>
      </w:pPr>
      <w:r>
        <w:t>T ~ 4,0 bar einsteuern.</w:t>
      </w:r>
    </w:p>
    <w:p w:rsidR="00F40EF9" w:rsidRDefault="00F40EF9" w:rsidP="00F40EF9">
      <w:pPr>
        <w:pStyle w:val="Listenabsatz"/>
        <w:numPr>
          <w:ilvl w:val="0"/>
          <w:numId w:val="21"/>
        </w:numPr>
        <w:spacing w:after="0"/>
      </w:pPr>
      <w:r>
        <w:t>T- und C-Druckmessgerät mit dem Vergleichsdruckmessgerät vergleichen;</w:t>
      </w:r>
    </w:p>
    <w:p w:rsidR="00F40EF9" w:rsidRDefault="00F40EF9" w:rsidP="00F40EF9">
      <w:pPr>
        <w:pStyle w:val="Listenabsatz"/>
        <w:spacing w:after="0"/>
      </w:pPr>
      <w:r>
        <w:t>Zulässige Druckabweichung +/- 0,1 bar.</w:t>
      </w:r>
    </w:p>
    <w:p w:rsidR="00F40EF9" w:rsidRDefault="00F40EF9" w:rsidP="00F40EF9">
      <w:pPr>
        <w:pStyle w:val="berschrift2"/>
      </w:pPr>
      <w:bookmarkStart w:id="11" w:name="_Toc357780200"/>
      <w:r>
        <w:t>4.3 Prüfung der Druckmessgeräte des Bremsprüfgeräts Pdr 4</w:t>
      </w:r>
      <w:bookmarkEnd w:id="11"/>
    </w:p>
    <w:p w:rsidR="00F40EF9" w:rsidRDefault="00FB5FE0" w:rsidP="00F40EF9">
      <w:r>
        <w:t>A</w:t>
      </w:r>
      <w:r w:rsidR="00F40EF9">
        <w:t xml:space="preserve">nschluss </w:t>
      </w:r>
      <w:r>
        <w:t>„Netz“ an Druckluftversorgung anschließen.</w:t>
      </w:r>
    </w:p>
    <w:p w:rsidR="00FB5FE0" w:rsidRDefault="00FB5FE0" w:rsidP="00FB5FE0">
      <w:pPr>
        <w:pStyle w:val="berschrift3"/>
      </w:pPr>
      <w:bookmarkStart w:id="12" w:name="_Toc357780201"/>
      <w:r>
        <w:t>4.3.1 HL, C und T (T nur bei Pdr 4 mit Zusatzgerät)</w:t>
      </w:r>
      <w:bookmarkEnd w:id="12"/>
    </w:p>
    <w:p w:rsidR="00FB5FE0" w:rsidRDefault="00FB5FE0" w:rsidP="00FB5FE0">
      <w:pPr>
        <w:pStyle w:val="Listenabsatz"/>
        <w:numPr>
          <w:ilvl w:val="0"/>
          <w:numId w:val="22"/>
        </w:numPr>
        <w:spacing w:after="0"/>
      </w:pPr>
      <w:r>
        <w:t>Prüfvorrichtung an Anschluss „HL“ anschließen.</w:t>
      </w:r>
    </w:p>
    <w:p w:rsidR="00FB5FE0" w:rsidRDefault="00FB5FE0" w:rsidP="00FB5FE0">
      <w:pPr>
        <w:pStyle w:val="Listenabsatz"/>
        <w:numPr>
          <w:ilvl w:val="0"/>
          <w:numId w:val="22"/>
        </w:numPr>
        <w:spacing w:after="0"/>
      </w:pPr>
      <w:r>
        <w:t>Anschlüsse „T“ an Prüfvorrichtung anschließen.</w:t>
      </w:r>
    </w:p>
    <w:p w:rsidR="00FB5FE0" w:rsidRDefault="00FB5FE0" w:rsidP="00FB5FE0">
      <w:pPr>
        <w:pStyle w:val="Listenabsatz"/>
        <w:numPr>
          <w:ilvl w:val="0"/>
          <w:numId w:val="22"/>
        </w:numPr>
        <w:spacing w:after="0"/>
      </w:pPr>
      <w:r>
        <w:t>Bremshebel in Lösestellung legen.</w:t>
      </w:r>
    </w:p>
    <w:p w:rsidR="00FB5FE0" w:rsidRDefault="00FB5FE0" w:rsidP="00FB5FE0">
      <w:pPr>
        <w:pStyle w:val="Listenabsatz"/>
        <w:numPr>
          <w:ilvl w:val="0"/>
          <w:numId w:val="22"/>
        </w:numPr>
        <w:spacing w:after="0"/>
      </w:pPr>
      <w:r>
        <w:t>HL- und T-Druckmessgerät mit dem Vergleichsdruckmessgerät vergleichen;</w:t>
      </w:r>
    </w:p>
    <w:p w:rsidR="00FB5FE0" w:rsidRDefault="00FB5FE0" w:rsidP="00FB5FE0">
      <w:pPr>
        <w:pStyle w:val="Listenabsatz"/>
        <w:spacing w:after="0"/>
      </w:pPr>
      <w:r>
        <w:t>Zulässige Druckabweichung +/- 0,1 bar.</w:t>
      </w:r>
    </w:p>
    <w:p w:rsidR="00FB5FE0" w:rsidRDefault="00FB5FE0" w:rsidP="00FB5FE0">
      <w:pPr>
        <w:pStyle w:val="Listenabsatz"/>
        <w:numPr>
          <w:ilvl w:val="0"/>
          <w:numId w:val="22"/>
        </w:numPr>
        <w:spacing w:after="0"/>
      </w:pPr>
      <w:r>
        <w:t>Anschlüsse „C“ an Prüfvorrichtung anschließen.</w:t>
      </w:r>
    </w:p>
    <w:p w:rsidR="00FB5FE0" w:rsidRDefault="00FB5FE0" w:rsidP="00FB5FE0">
      <w:pPr>
        <w:pStyle w:val="Listenabsatz"/>
        <w:numPr>
          <w:ilvl w:val="0"/>
          <w:numId w:val="22"/>
        </w:numPr>
        <w:spacing w:after="0"/>
      </w:pPr>
      <w:r>
        <w:t>C-Druckmessgerät mit dem Vergleichsdruckmessgerät vergleichen;</w:t>
      </w:r>
    </w:p>
    <w:p w:rsidR="00FB5FE0" w:rsidRDefault="00FB5FE0" w:rsidP="00FB5FE0">
      <w:pPr>
        <w:pStyle w:val="Listenabsatz"/>
        <w:spacing w:after="0"/>
      </w:pPr>
      <w:r>
        <w:t>Zulässige Druckabweichung +/- 0,1 bar.</w:t>
      </w:r>
    </w:p>
    <w:p w:rsidR="00FB5FE0" w:rsidRDefault="00FB5FE0" w:rsidP="00FB5FE0">
      <w:pPr>
        <w:pStyle w:val="berschrift3"/>
      </w:pPr>
      <w:bookmarkStart w:id="13" w:name="_Toc357780202"/>
      <w:r>
        <w:t>4.3.2 Netz</w:t>
      </w:r>
      <w:bookmarkEnd w:id="13"/>
    </w:p>
    <w:p w:rsidR="00FB5FE0" w:rsidRDefault="00FB5FE0" w:rsidP="00FB5FE0">
      <w:pPr>
        <w:pStyle w:val="Listenabsatz"/>
        <w:numPr>
          <w:ilvl w:val="0"/>
          <w:numId w:val="23"/>
        </w:numPr>
        <w:spacing w:after="0"/>
      </w:pPr>
      <w:r>
        <w:t>Anschlusszuleitung des Zusatzgeräts vom Pdr 4 abkuppeln.</w:t>
      </w:r>
    </w:p>
    <w:p w:rsidR="00FB5FE0" w:rsidRDefault="00FB5FE0" w:rsidP="00FB5FE0">
      <w:pPr>
        <w:pStyle w:val="Listenabsatz"/>
        <w:numPr>
          <w:ilvl w:val="0"/>
          <w:numId w:val="23"/>
        </w:numPr>
        <w:spacing w:after="0"/>
      </w:pPr>
      <w:r>
        <w:t xml:space="preserve">Vergleichsdruckmessgerät von Prüfvorrichtung abkuppeln und an </w:t>
      </w:r>
      <w:proofErr w:type="spellStart"/>
      <w:r w:rsidRPr="00FB5FE0">
        <w:t>Druckluft</w:t>
      </w:r>
      <w:r>
        <w:softHyphen/>
      </w:r>
      <w:r w:rsidRPr="00FB5FE0">
        <w:t>ver</w:t>
      </w:r>
      <w:r>
        <w:softHyphen/>
      </w:r>
      <w:r w:rsidRPr="00FB5FE0">
        <w:t>sorgungs</w:t>
      </w:r>
      <w:r>
        <w:softHyphen/>
      </w:r>
      <w:r w:rsidRPr="00FB5FE0">
        <w:t>anschluss</w:t>
      </w:r>
      <w:proofErr w:type="spellEnd"/>
      <w:r>
        <w:t xml:space="preserve"> für das Zusatzgerät anschließen.</w:t>
      </w:r>
    </w:p>
    <w:p w:rsidR="00FB5FE0" w:rsidRDefault="00FB5FE0" w:rsidP="00FB5FE0">
      <w:pPr>
        <w:pStyle w:val="Listenabsatz"/>
        <w:numPr>
          <w:ilvl w:val="0"/>
          <w:numId w:val="23"/>
        </w:numPr>
        <w:spacing w:after="0"/>
      </w:pPr>
      <w:r>
        <w:t>Netz-Druckmessgerät mit dem Vergleichsdruckmessgerät vergleichen;</w:t>
      </w:r>
    </w:p>
    <w:p w:rsidR="00FB5FE0" w:rsidRDefault="00FB5FE0" w:rsidP="00FB5FE0">
      <w:pPr>
        <w:pStyle w:val="Listenabsatz"/>
        <w:spacing w:after="0"/>
      </w:pPr>
      <w:r>
        <w:t>Zulässige Druckabweichung +/- 0,2 bar.</w:t>
      </w:r>
    </w:p>
    <w:p w:rsidR="00FB5FE0" w:rsidRDefault="00FB5FE0" w:rsidP="00FB5FE0">
      <w:pPr>
        <w:pStyle w:val="berschrift2"/>
      </w:pPr>
      <w:bookmarkStart w:id="14" w:name="_Toc357780203"/>
      <w:r>
        <w:t>4.4 Prüfung der Druckmessgeräte des Bremsprüfgeräts Pdr 5</w:t>
      </w:r>
      <w:bookmarkEnd w:id="14"/>
    </w:p>
    <w:p w:rsidR="00FB5FE0" w:rsidRDefault="00FB5FE0" w:rsidP="00FB5FE0">
      <w:r>
        <w:t>Anschluss „Netz“ an Druckluftversorgung anschließen. (Alle Absperrhähne sind geschlossen)</w:t>
      </w:r>
    </w:p>
    <w:p w:rsidR="00FB5FE0" w:rsidRDefault="00FB5FE0" w:rsidP="00FB5FE0">
      <w:pPr>
        <w:pStyle w:val="berschrift3"/>
      </w:pPr>
      <w:bookmarkStart w:id="15" w:name="_Toc357780204"/>
      <w:r>
        <w:t>4.4.1 Netz und HBL</w:t>
      </w:r>
      <w:bookmarkEnd w:id="15"/>
    </w:p>
    <w:p w:rsidR="00FB5FE0" w:rsidRDefault="00FB5FE0" w:rsidP="00FB5FE0">
      <w:pPr>
        <w:pStyle w:val="Listenabsatz"/>
        <w:numPr>
          <w:ilvl w:val="0"/>
          <w:numId w:val="24"/>
        </w:numPr>
        <w:spacing w:after="0"/>
      </w:pPr>
      <w:r>
        <w:t>Prüfvorrichtung am Anschluss „HBL“ anschließen.</w:t>
      </w:r>
    </w:p>
    <w:p w:rsidR="00FB5FE0" w:rsidRDefault="00FB5FE0" w:rsidP="00FB5FE0">
      <w:pPr>
        <w:pStyle w:val="Listenabsatz"/>
        <w:numPr>
          <w:ilvl w:val="0"/>
          <w:numId w:val="24"/>
        </w:numPr>
        <w:spacing w:after="0"/>
      </w:pPr>
      <w:r>
        <w:lastRenderedPageBreak/>
        <w:t>Absperrhähne H1 und H2 öffnen.</w:t>
      </w:r>
    </w:p>
    <w:p w:rsidR="00FB5FE0" w:rsidRDefault="00FB5FE0" w:rsidP="00FB5FE0">
      <w:pPr>
        <w:pStyle w:val="Listenabsatz"/>
        <w:numPr>
          <w:ilvl w:val="0"/>
          <w:numId w:val="24"/>
        </w:numPr>
        <w:spacing w:after="0"/>
      </w:pPr>
      <w:r>
        <w:t>Netz- und HBL-Druckmessgerät mit dem Vergleichsdruckmessgerät vergleichen;</w:t>
      </w:r>
    </w:p>
    <w:p w:rsidR="00FB5FE0" w:rsidRDefault="00FB5FE0" w:rsidP="00FB5FE0">
      <w:pPr>
        <w:pStyle w:val="Listenabsatz"/>
        <w:spacing w:after="0"/>
      </w:pPr>
      <w:r>
        <w:t>Zulässige Druckabweichung +/- 0,2 bar.</w:t>
      </w:r>
    </w:p>
    <w:p w:rsidR="00FB5FE0" w:rsidRDefault="00FB5FE0" w:rsidP="00FB5FE0">
      <w:pPr>
        <w:pStyle w:val="berschrift3"/>
      </w:pPr>
      <w:bookmarkStart w:id="16" w:name="_Toc357780205"/>
      <w:r>
        <w:t>4.4.2 HL und Gerät</w:t>
      </w:r>
      <w:bookmarkEnd w:id="16"/>
    </w:p>
    <w:p w:rsidR="00FB5FE0" w:rsidRDefault="00FB5FE0" w:rsidP="00FB5FE0">
      <w:pPr>
        <w:pStyle w:val="Listenabsatz"/>
        <w:numPr>
          <w:ilvl w:val="0"/>
          <w:numId w:val="25"/>
        </w:numPr>
        <w:spacing w:after="0"/>
      </w:pPr>
      <w:r>
        <w:t>Absperrhahn H2 schließen.</w:t>
      </w:r>
    </w:p>
    <w:p w:rsidR="00FB5FE0" w:rsidRDefault="00FB5FE0" w:rsidP="00FB5FE0">
      <w:pPr>
        <w:pStyle w:val="Listenabsatz"/>
        <w:numPr>
          <w:ilvl w:val="0"/>
          <w:numId w:val="25"/>
        </w:numPr>
        <w:spacing w:after="0"/>
      </w:pPr>
      <w:r>
        <w:t>Prüfvorrichtung an Anschluss „HL“ anschließen.</w:t>
      </w:r>
    </w:p>
    <w:p w:rsidR="00FB5FE0" w:rsidRDefault="00FB5FE0" w:rsidP="00FB5FE0">
      <w:pPr>
        <w:pStyle w:val="Listenabsatz"/>
        <w:numPr>
          <w:ilvl w:val="0"/>
          <w:numId w:val="25"/>
        </w:numPr>
        <w:spacing w:after="0"/>
      </w:pPr>
      <w:r>
        <w:t>Absperrhähne H3, H4 und H9 öffnen.</w:t>
      </w:r>
    </w:p>
    <w:p w:rsidR="00FB5FE0" w:rsidRDefault="00FB5FE0" w:rsidP="00FB5FE0">
      <w:pPr>
        <w:pStyle w:val="Listenabsatz"/>
        <w:numPr>
          <w:ilvl w:val="0"/>
          <w:numId w:val="25"/>
        </w:numPr>
        <w:spacing w:after="0"/>
      </w:pPr>
      <w:r>
        <w:t xml:space="preserve">HL- und Gerät-Druckmessgerät </w:t>
      </w:r>
      <w:r>
        <w:t>mit dem Vergleichsdruckmessgerät vergleichen;</w:t>
      </w:r>
    </w:p>
    <w:p w:rsidR="00FB5FE0" w:rsidRDefault="00FB5FE0" w:rsidP="00FB5FE0">
      <w:pPr>
        <w:pStyle w:val="Listenabsatz"/>
        <w:spacing w:after="0"/>
      </w:pPr>
      <w:r>
        <w:t>Zulässi</w:t>
      </w:r>
      <w:r>
        <w:t>ge Druckabweichung +/- 0,1 bar.</w:t>
      </w:r>
    </w:p>
    <w:p w:rsidR="00FB5FE0" w:rsidRDefault="00FB5FE0" w:rsidP="00FB5FE0">
      <w:pPr>
        <w:pStyle w:val="berschrift3"/>
      </w:pPr>
      <w:bookmarkStart w:id="17" w:name="_Toc357780206"/>
      <w:r>
        <w:t>4.4.3 T und C bei Pdr 5 mit Zusatzgerät</w:t>
      </w:r>
      <w:bookmarkEnd w:id="17"/>
    </w:p>
    <w:p w:rsidR="00FB5FE0" w:rsidRDefault="00FB5FE0" w:rsidP="00FB5FE0">
      <w:r>
        <w:t>(Prüfvorrichtung verbleibt am Anschluss „HL“)</w:t>
      </w:r>
    </w:p>
    <w:p w:rsidR="00FB5FE0" w:rsidRDefault="00FB5FE0" w:rsidP="00FB5FE0">
      <w:pPr>
        <w:pStyle w:val="Listenabsatz"/>
        <w:numPr>
          <w:ilvl w:val="0"/>
          <w:numId w:val="26"/>
        </w:numPr>
        <w:spacing w:after="0"/>
      </w:pPr>
      <w:r>
        <w:t>Anschlüsse „T“ und „C“ des Zusatzgeräts (ggf. in 2 Schritten) an die Prüfvorrichtung anschließen.</w:t>
      </w:r>
    </w:p>
    <w:p w:rsidR="00FB5FE0" w:rsidRDefault="00FB5FE0" w:rsidP="00FB5FE0">
      <w:pPr>
        <w:pStyle w:val="Listenabsatz"/>
        <w:numPr>
          <w:ilvl w:val="0"/>
          <w:numId w:val="26"/>
        </w:numPr>
        <w:spacing w:after="0"/>
      </w:pPr>
      <w:r>
        <w:t>T ~ 4,0 bar einsteuern.</w:t>
      </w:r>
    </w:p>
    <w:p w:rsidR="00FB5FE0" w:rsidRDefault="00FB5FE0" w:rsidP="00FB5FE0">
      <w:pPr>
        <w:pStyle w:val="Listenabsatz"/>
        <w:numPr>
          <w:ilvl w:val="0"/>
          <w:numId w:val="26"/>
        </w:numPr>
        <w:spacing w:after="0"/>
      </w:pPr>
      <w:r>
        <w:t xml:space="preserve">T- und C-Druckmessgerät mit </w:t>
      </w:r>
      <w:r>
        <w:t>dem Vergleichsdruckmessgerät vergleichen;</w:t>
      </w:r>
    </w:p>
    <w:p w:rsidR="00FB5FE0" w:rsidRDefault="00FB5FE0" w:rsidP="00FB5FE0">
      <w:pPr>
        <w:pStyle w:val="Listenabsatz"/>
        <w:spacing w:after="0"/>
      </w:pPr>
      <w:r>
        <w:t>Zulässige Druckabweichung +/- 0,1 bar.</w:t>
      </w:r>
    </w:p>
    <w:p w:rsidR="00FB5FE0" w:rsidRDefault="00FB5FE0" w:rsidP="00FB5FE0">
      <w:pPr>
        <w:pStyle w:val="berschrift2"/>
      </w:pPr>
      <w:bookmarkStart w:id="18" w:name="_Toc357780207"/>
      <w:r>
        <w:t>4.5 Prüfung der Druckmessgeräte des Zusatzgerätes</w:t>
      </w:r>
      <w:bookmarkEnd w:id="18"/>
    </w:p>
    <w:p w:rsidR="00FB5FE0" w:rsidRDefault="00FB5FE0" w:rsidP="00FB5FE0">
      <w:r>
        <w:t>(Nicht in Verbindung mit einem Pdr-Gerät)</w:t>
      </w:r>
    </w:p>
    <w:p w:rsidR="00FB5FE0" w:rsidRDefault="00FB5FE0" w:rsidP="00FB5FE0">
      <w:pPr>
        <w:pStyle w:val="Listenabsatz"/>
        <w:numPr>
          <w:ilvl w:val="0"/>
          <w:numId w:val="27"/>
        </w:numPr>
        <w:spacing w:after="0"/>
      </w:pPr>
      <w:r>
        <w:t>Prüfvorrichtung an Druckluftversorgung (ca. 4,0 bar) anschließen.</w:t>
      </w:r>
    </w:p>
    <w:p w:rsidR="00FB5FE0" w:rsidRDefault="00FB5FE0" w:rsidP="00FB5FE0">
      <w:pPr>
        <w:pStyle w:val="Listenabsatz"/>
        <w:numPr>
          <w:ilvl w:val="0"/>
          <w:numId w:val="27"/>
        </w:numPr>
        <w:spacing w:after="0"/>
      </w:pPr>
      <w:r>
        <w:t>Anschlüsse „T“ und „C“ des Zusatzgeräts (ggf. in 2 Schritten) an die Prüfvorrichtung anschließen. (Absperrhähne im Zusatzgerät geschlossen.)</w:t>
      </w:r>
    </w:p>
    <w:p w:rsidR="00FB5FE0" w:rsidRDefault="00FB5FE0" w:rsidP="00FB5FE0">
      <w:pPr>
        <w:pStyle w:val="Listenabsatz"/>
        <w:numPr>
          <w:ilvl w:val="0"/>
          <w:numId w:val="27"/>
        </w:numPr>
        <w:spacing w:after="0"/>
      </w:pPr>
      <w:r>
        <w:t>T- und C-Druckmessgerät mit dem Vergleichsdruckmessgerät vergleichen;</w:t>
      </w:r>
    </w:p>
    <w:p w:rsidR="00FB5FE0" w:rsidRPr="00FB5FE0" w:rsidRDefault="00FB5FE0" w:rsidP="00FB5FE0">
      <w:pPr>
        <w:pStyle w:val="Listenabsatz"/>
        <w:spacing w:after="0"/>
      </w:pPr>
      <w:r>
        <w:t>Zulässige Druckabweichung +/- 0,1 bar.</w:t>
      </w:r>
    </w:p>
    <w:p w:rsidR="005D6774" w:rsidRDefault="005D6774" w:rsidP="005D6774">
      <w:pPr>
        <w:pStyle w:val="berschrift1"/>
        <w:rPr>
          <w:rFonts w:eastAsia="Times New Roman"/>
          <w:lang w:eastAsia="ar-SA"/>
        </w:rPr>
      </w:pPr>
      <w:bookmarkStart w:id="19" w:name="_Toc357780208"/>
      <w:r>
        <w:rPr>
          <w:rFonts w:eastAsia="Times New Roman"/>
          <w:lang w:eastAsia="ar-SA"/>
        </w:rPr>
        <w:t xml:space="preserve">5. </w:t>
      </w:r>
      <w:r w:rsidRPr="002629E3">
        <w:rPr>
          <w:rFonts w:eastAsia="Times New Roman"/>
          <w:lang w:eastAsia="ar-SA"/>
        </w:rPr>
        <w:t>Mitgeltende Dokumente</w:t>
      </w:r>
      <w:bookmarkEnd w:id="19"/>
    </w:p>
    <w:p w:rsidR="00FB5FE0" w:rsidRDefault="00FB5FE0" w:rsidP="00FB5FE0">
      <w:pPr>
        <w:pStyle w:val="Listenabsatz"/>
        <w:numPr>
          <w:ilvl w:val="0"/>
          <w:numId w:val="28"/>
        </w:numPr>
        <w:spacing w:after="0"/>
      </w:pPr>
      <w:r>
        <w:t>DS 91502, Anhang 21</w:t>
      </w:r>
    </w:p>
    <w:p w:rsidR="00FB5FE0" w:rsidRPr="00FB5FE0" w:rsidRDefault="00FB5FE0" w:rsidP="00FB5FE0">
      <w:pPr>
        <w:pStyle w:val="Listenabsatz"/>
        <w:numPr>
          <w:ilvl w:val="0"/>
          <w:numId w:val="28"/>
        </w:numPr>
      </w:pPr>
      <w:proofErr w:type="spellStart"/>
      <w:r>
        <w:t>Prüfbuch</w:t>
      </w:r>
      <w:proofErr w:type="spellEnd"/>
    </w:p>
    <w:p w:rsidR="005D6774" w:rsidRDefault="005D6774" w:rsidP="005D6774">
      <w:pPr>
        <w:pStyle w:val="berschrift1"/>
        <w:rPr>
          <w:rFonts w:eastAsia="Times New Roman"/>
          <w:lang w:eastAsia="ar-SA"/>
        </w:rPr>
      </w:pPr>
      <w:bookmarkStart w:id="20" w:name="_Toc357780209"/>
      <w:r>
        <w:rPr>
          <w:rFonts w:eastAsia="Times New Roman"/>
          <w:lang w:eastAsia="ar-SA"/>
        </w:rPr>
        <w:t>6. Gültigkeit</w:t>
      </w:r>
      <w:bookmarkEnd w:id="20"/>
    </w:p>
    <w:p w:rsidR="005D6774" w:rsidRDefault="005D6774" w:rsidP="005D6774">
      <w:r>
        <w:t xml:space="preserve">Diese </w:t>
      </w:r>
      <w:r w:rsidR="00FB5FE0">
        <w:t>technische Weisung</w:t>
      </w:r>
      <w:r>
        <w:t xml:space="preserve"> tritt in Kraft am:</w:t>
      </w:r>
      <w:r>
        <w:tab/>
      </w:r>
      <w:r>
        <w:tab/>
      </w:r>
      <w:r w:rsidR="00FB5FE0">
        <w:t>03.06.2013</w:t>
      </w:r>
    </w:p>
    <w:p w:rsidR="005D6774" w:rsidRDefault="005D6774" w:rsidP="005D6774">
      <w:r>
        <w:t xml:space="preserve">Diese </w:t>
      </w:r>
      <w:r w:rsidR="00FB5FE0">
        <w:t>technische Weisung</w:t>
      </w:r>
      <w:r>
        <w:t xml:space="preserve"> setzt außer Kraft:</w:t>
      </w:r>
      <w:r>
        <w:tab/>
      </w:r>
      <w:r>
        <w:tab/>
      </w:r>
      <w:r w:rsidR="00FB5FE0">
        <w:t>nicht zutreffend</w:t>
      </w:r>
    </w:p>
    <w:p w:rsidR="005D6774" w:rsidRDefault="005D6774" w:rsidP="005D6774">
      <w:pPr>
        <w:pStyle w:val="berschrift1"/>
        <w:rPr>
          <w:rFonts w:eastAsia="Times New Roman"/>
          <w:lang w:eastAsia="ar-SA"/>
        </w:rPr>
      </w:pPr>
      <w:bookmarkStart w:id="21" w:name="_Toc357780210"/>
      <w:r>
        <w:rPr>
          <w:rFonts w:eastAsia="Times New Roman"/>
          <w:lang w:eastAsia="ar-SA"/>
        </w:rPr>
        <w:t>7. Anlagen</w:t>
      </w:r>
      <w:bookmarkEnd w:id="21"/>
    </w:p>
    <w:p w:rsidR="00BD63B5" w:rsidRPr="00F05461" w:rsidRDefault="00FB5FE0" w:rsidP="005D29D2">
      <w:r>
        <w:t>keine</w:t>
      </w:r>
    </w:p>
    <w:sectPr w:rsidR="00BD63B5" w:rsidRPr="00F05461" w:rsidSect="00C43B39">
      <w:headerReference w:type="default" r:id="rId10"/>
      <w:footerReference w:type="default" r:id="rId11"/>
      <w:pgSz w:w="11906" w:h="16838"/>
      <w:pgMar w:top="1417" w:right="1417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57D" w:rsidRDefault="0045357D" w:rsidP="000144C1">
      <w:pPr>
        <w:spacing w:after="0" w:line="240" w:lineRule="auto"/>
      </w:pPr>
      <w:r>
        <w:separator/>
      </w:r>
    </w:p>
  </w:endnote>
  <w:endnote w:type="continuationSeparator" w:id="0">
    <w:p w:rsidR="0045357D" w:rsidRDefault="0045357D" w:rsidP="00014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0" w:rsidRPr="00560633" w:rsidRDefault="00FB5FE0" w:rsidP="00DF64A0">
    <w:pPr>
      <w:pBdr>
        <w:top w:val="single" w:sz="4" w:space="1" w:color="auto"/>
      </w:pBdr>
      <w:rPr>
        <w:rFonts w:ascii="Myriad Pro" w:hAnsi="Myriad Pro"/>
        <w:color w:val="1F497D" w:themeColor="text2"/>
        <w:sz w:val="20"/>
        <w:szCs w:val="20"/>
      </w:rPr>
    </w:pPr>
    <w:r w:rsidRPr="00FB5FE0">
      <w:rPr>
        <w:rFonts w:ascii="Myriad Pro" w:hAnsi="Myriad Pro"/>
        <w:color w:val="1F497D" w:themeColor="text2"/>
        <w:sz w:val="20"/>
        <w:szCs w:val="20"/>
      </w:rPr>
      <w:t>31.05.2013</w:t>
    </w:r>
    <w:r w:rsidR="00546F62" w:rsidRPr="00560633">
      <w:rPr>
        <w:rFonts w:ascii="Myriad Pro" w:hAnsi="Myriad Pro"/>
        <w:color w:val="1F497D" w:themeColor="text2"/>
        <w:sz w:val="20"/>
        <w:szCs w:val="20"/>
      </w:rPr>
      <w:ptab w:relativeTo="margin" w:alignment="center" w:leader="none"/>
    </w:r>
    <w:r>
      <w:rPr>
        <w:rFonts w:ascii="Myriad Pro" w:hAnsi="Myriad Pro"/>
        <w:color w:val="1F497D" w:themeColor="text2"/>
        <w:sz w:val="20"/>
        <w:szCs w:val="20"/>
      </w:rPr>
      <w:t>TW</w:t>
    </w:r>
    <w:r w:rsidR="00B743D0" w:rsidRPr="00FB5FE0">
      <w:rPr>
        <w:rFonts w:ascii="Myriad Pro" w:hAnsi="Myriad Pro"/>
        <w:color w:val="1F497D" w:themeColor="text2"/>
        <w:sz w:val="20"/>
        <w:szCs w:val="20"/>
      </w:rPr>
      <w:t xml:space="preserve"> </w:t>
    </w:r>
    <w:r>
      <w:rPr>
        <w:rFonts w:ascii="Myriad Pro" w:hAnsi="Myriad Pro"/>
        <w:color w:val="1F497D" w:themeColor="text2"/>
        <w:sz w:val="20"/>
        <w:szCs w:val="20"/>
      </w:rPr>
      <w:t>13</w:t>
    </w:r>
    <w:r w:rsidR="005D6774" w:rsidRPr="00FB5FE0">
      <w:rPr>
        <w:rFonts w:ascii="Myriad Pro" w:hAnsi="Myriad Pro"/>
        <w:color w:val="1F497D" w:themeColor="text2"/>
        <w:sz w:val="20"/>
        <w:szCs w:val="20"/>
      </w:rPr>
      <w:t xml:space="preserve"> </w:t>
    </w:r>
    <w:r w:rsidR="00DB0790" w:rsidRPr="00FB5FE0">
      <w:rPr>
        <w:color w:val="1F497D" w:themeColor="text2"/>
        <w:sz w:val="20"/>
      </w:rPr>
      <w:t xml:space="preserve">– Rev. </w:t>
    </w:r>
    <w:r>
      <w:rPr>
        <w:color w:val="1F497D" w:themeColor="text2"/>
        <w:sz w:val="20"/>
      </w:rPr>
      <w:t>0</w:t>
    </w:r>
    <w:r w:rsidR="00546F62" w:rsidRPr="00560633">
      <w:rPr>
        <w:rFonts w:ascii="Myriad Pro" w:hAnsi="Myriad Pro"/>
        <w:color w:val="1F497D" w:themeColor="text2"/>
        <w:sz w:val="20"/>
        <w:szCs w:val="20"/>
      </w:rPr>
      <w:ptab w:relativeTo="margin" w:alignment="right" w:leader="none"/>
    </w:r>
    <w:sdt>
      <w:sdtPr>
        <w:rPr>
          <w:rFonts w:ascii="Myriad Pro" w:hAnsi="Myriad Pro"/>
          <w:color w:val="1F497D" w:themeColor="text2"/>
          <w:sz w:val="20"/>
          <w:szCs w:val="20"/>
        </w:rPr>
        <w:id w:val="13210698"/>
        <w:docPartObj>
          <w:docPartGallery w:val="Page Numbers (Top of Page)"/>
          <w:docPartUnique/>
        </w:docPartObj>
      </w:sdtPr>
      <w:sdtContent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t xml:space="preserve">Seite </w:t>
        </w:r>
        <w:r w:rsidR="008B352B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begin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instrText xml:space="preserve"> PAGE </w:instrText>
        </w:r>
        <w:r w:rsidR="008B352B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separate"/>
        </w:r>
        <w:r w:rsidR="00835F42">
          <w:rPr>
            <w:rFonts w:ascii="Myriad Pro" w:hAnsi="Myriad Pro"/>
            <w:noProof/>
            <w:color w:val="1F497D" w:themeColor="text2"/>
            <w:sz w:val="20"/>
            <w:szCs w:val="20"/>
          </w:rPr>
          <w:t>1</w:t>
        </w:r>
        <w:r w:rsidR="008B352B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end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t xml:space="preserve"> von </w:t>
        </w:r>
        <w:r w:rsidR="008B352B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begin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instrText xml:space="preserve"> NUMPAGES  </w:instrText>
        </w:r>
        <w:r w:rsidR="008B352B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separate"/>
        </w:r>
        <w:r w:rsidR="00835F42">
          <w:rPr>
            <w:rFonts w:ascii="Myriad Pro" w:hAnsi="Myriad Pro"/>
            <w:noProof/>
            <w:color w:val="1F497D" w:themeColor="text2"/>
            <w:sz w:val="20"/>
            <w:szCs w:val="20"/>
          </w:rPr>
          <w:t>5</w:t>
        </w:r>
        <w:r w:rsidR="008B352B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57D" w:rsidRDefault="0045357D" w:rsidP="000144C1">
      <w:pPr>
        <w:spacing w:after="0" w:line="240" w:lineRule="auto"/>
      </w:pPr>
      <w:r>
        <w:separator/>
      </w:r>
    </w:p>
  </w:footnote>
  <w:footnote w:type="continuationSeparator" w:id="0">
    <w:p w:rsidR="0045357D" w:rsidRDefault="0045357D" w:rsidP="00014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69" w:rsidRPr="00980C9C" w:rsidRDefault="00B743D0" w:rsidP="006B6E69">
    <w:pPr>
      <w:pStyle w:val="berschrift2"/>
      <w:tabs>
        <w:tab w:val="left" w:pos="3331"/>
      </w:tabs>
      <w:spacing w:before="0"/>
      <w:rPr>
        <w:rFonts w:ascii="Myriad Pro" w:hAnsi="Myriad Pro"/>
        <w:caps/>
        <w:color w:val="808080" w:themeColor="background1" w:themeShade="80"/>
        <w:sz w:val="22"/>
        <w:szCs w:val="23"/>
      </w:rPr>
    </w:pPr>
    <w:r w:rsidRPr="00980C9C">
      <w:rPr>
        <w:rFonts w:ascii="Myriad Pro" w:hAnsi="Myriad Pro"/>
        <w:caps/>
        <w:noProof/>
        <w:color w:val="808080" w:themeColor="background1" w:themeShade="80"/>
        <w:sz w:val="22"/>
        <w:szCs w:val="23"/>
      </w:rPr>
      <w:drawing>
        <wp:anchor distT="0" distB="0" distL="114300" distR="114300" simplePos="0" relativeHeight="251659264" behindDoc="0" locked="0" layoutInCell="1" allowOverlap="1" wp14:anchorId="101D9605" wp14:editId="5A10EEAB">
          <wp:simplePos x="0" y="0"/>
          <wp:positionH relativeFrom="page">
            <wp:posOffset>5092310</wp:posOffset>
          </wp:positionH>
          <wp:positionV relativeFrom="page">
            <wp:posOffset>291193</wp:posOffset>
          </wp:positionV>
          <wp:extent cx="1601070" cy="537210"/>
          <wp:effectExtent l="0" t="0" r="0" b="0"/>
          <wp:wrapNone/>
          <wp:docPr id="1" name="Bild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83" name="Bild 28" descr="LOGOw24.pd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1070" cy="537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80C9C" w:rsidRPr="00980C9C">
      <w:rPr>
        <w:rFonts w:ascii="Myriad Pro" w:hAnsi="Myriad Pro"/>
        <w:caps/>
        <w:color w:val="808080" w:themeColor="background1" w:themeShade="80"/>
        <w:sz w:val="22"/>
        <w:szCs w:val="23"/>
      </w:rPr>
      <w:t>Qualitätsmanagement-System</w:t>
    </w:r>
  </w:p>
  <w:p w:rsidR="00044BB7" w:rsidRPr="00044BB7" w:rsidRDefault="00EB1CD6" w:rsidP="00044BB7">
    <w:pPr>
      <w:pStyle w:val="berschrift3"/>
      <w:spacing w:after="240" w:line="240" w:lineRule="auto"/>
      <w:rPr>
        <w:rFonts w:ascii="Myriad Pro" w:hAnsi="Myriad Pro"/>
      </w:rPr>
    </w:pPr>
    <w:sdt>
      <w:sdtPr>
        <w:rPr>
          <w:rStyle w:val="berschrift1Zchn"/>
        </w:rPr>
        <w:alias w:val="Titel"/>
        <w:id w:val="1321069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15D85">
          <w:rPr>
            <w:rStyle w:val="berschrift1Zchn"/>
          </w:rPr>
          <w:t xml:space="preserve">TW </w:t>
        </w:r>
        <w:proofErr w:type="spellStart"/>
        <w:r w:rsidR="00B15D85">
          <w:rPr>
            <w:rStyle w:val="berschrift1Zchn"/>
          </w:rPr>
          <w:t>Prüfanweisung</w:t>
        </w:r>
        <w:proofErr w:type="spellEnd"/>
        <w:r w:rsidR="00B15D85">
          <w:rPr>
            <w:rStyle w:val="berschrift1Zchn"/>
          </w:rPr>
          <w:t xml:space="preserve"> für Druckmessgeräte Pdr 1 bis 5 sowie der Zusatzgeräte</w:t>
        </w:r>
      </w:sdtContent>
    </w:sdt>
    <w:r>
      <w:rPr>
        <w:rFonts w:ascii="Myriad Pro" w:hAnsi="Myriad Pro"/>
      </w:rPr>
      <w:pict>
        <v:rect id="_x0000_i1025" style="width:453.6pt;height:.5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singleLevel"/>
    <w:tmpl w:val="00000012"/>
    <w:name w:val="WW8Num17"/>
    <w:lvl w:ilvl="0">
      <w:numFmt w:val="bullet"/>
      <w:lvlText w:val="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4"/>
      </w:rPr>
    </w:lvl>
  </w:abstractNum>
  <w:abstractNum w:abstractNumId="1">
    <w:nsid w:val="00000016"/>
    <w:multiLevelType w:val="singleLevel"/>
    <w:tmpl w:val="00000016"/>
    <w:name w:val="WW8Num21"/>
    <w:lvl w:ilvl="0">
      <w:numFmt w:val="bullet"/>
      <w:lvlText w:val="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4"/>
      </w:rPr>
    </w:lvl>
  </w:abstractNum>
  <w:abstractNum w:abstractNumId="2">
    <w:nsid w:val="005315D8"/>
    <w:multiLevelType w:val="hybridMultilevel"/>
    <w:tmpl w:val="4D68FA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B7500"/>
    <w:multiLevelType w:val="hybridMultilevel"/>
    <w:tmpl w:val="B32E6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27C3D"/>
    <w:multiLevelType w:val="hybridMultilevel"/>
    <w:tmpl w:val="EED29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E79A2"/>
    <w:multiLevelType w:val="hybridMultilevel"/>
    <w:tmpl w:val="33EC3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716732"/>
    <w:multiLevelType w:val="hybridMultilevel"/>
    <w:tmpl w:val="7B46B9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70F08"/>
    <w:multiLevelType w:val="hybridMultilevel"/>
    <w:tmpl w:val="BCE67E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675AA7"/>
    <w:multiLevelType w:val="hybridMultilevel"/>
    <w:tmpl w:val="0768A2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67484"/>
    <w:multiLevelType w:val="hybridMultilevel"/>
    <w:tmpl w:val="5C1C36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12414"/>
    <w:multiLevelType w:val="hybridMultilevel"/>
    <w:tmpl w:val="A4946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E5AE9"/>
    <w:multiLevelType w:val="hybridMultilevel"/>
    <w:tmpl w:val="DA464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366D66"/>
    <w:multiLevelType w:val="hybridMultilevel"/>
    <w:tmpl w:val="1CFC798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9664B"/>
    <w:multiLevelType w:val="hybridMultilevel"/>
    <w:tmpl w:val="22E29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544995"/>
    <w:multiLevelType w:val="hybridMultilevel"/>
    <w:tmpl w:val="3ABA66B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430835"/>
    <w:multiLevelType w:val="hybridMultilevel"/>
    <w:tmpl w:val="06A64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99421E"/>
    <w:multiLevelType w:val="hybridMultilevel"/>
    <w:tmpl w:val="8368D30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A721DD"/>
    <w:multiLevelType w:val="hybridMultilevel"/>
    <w:tmpl w:val="BBA0657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E01469"/>
    <w:multiLevelType w:val="hybridMultilevel"/>
    <w:tmpl w:val="7D14C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A174FB"/>
    <w:multiLevelType w:val="hybridMultilevel"/>
    <w:tmpl w:val="37CE6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84406D"/>
    <w:multiLevelType w:val="multilevel"/>
    <w:tmpl w:val="B6BAA7A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6840FC9"/>
    <w:multiLevelType w:val="hybridMultilevel"/>
    <w:tmpl w:val="A15243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1E1941"/>
    <w:multiLevelType w:val="hybridMultilevel"/>
    <w:tmpl w:val="33D870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7D3697"/>
    <w:multiLevelType w:val="hybridMultilevel"/>
    <w:tmpl w:val="1346C94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2C1F26"/>
    <w:multiLevelType w:val="hybridMultilevel"/>
    <w:tmpl w:val="39F4929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1A76A7"/>
    <w:multiLevelType w:val="hybridMultilevel"/>
    <w:tmpl w:val="176845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750335"/>
    <w:multiLevelType w:val="hybridMultilevel"/>
    <w:tmpl w:val="302C804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9F2D55"/>
    <w:multiLevelType w:val="hybridMultilevel"/>
    <w:tmpl w:val="8E3286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"/>
  </w:num>
  <w:num w:numId="4">
    <w:abstractNumId w:val="9"/>
  </w:num>
  <w:num w:numId="5">
    <w:abstractNumId w:val="2"/>
  </w:num>
  <w:num w:numId="6">
    <w:abstractNumId w:val="13"/>
  </w:num>
  <w:num w:numId="7">
    <w:abstractNumId w:val="7"/>
  </w:num>
  <w:num w:numId="8">
    <w:abstractNumId w:val="11"/>
  </w:num>
  <w:num w:numId="9">
    <w:abstractNumId w:val="5"/>
  </w:num>
  <w:num w:numId="10">
    <w:abstractNumId w:val="3"/>
  </w:num>
  <w:num w:numId="11">
    <w:abstractNumId w:val="4"/>
  </w:num>
  <w:num w:numId="12">
    <w:abstractNumId w:val="10"/>
  </w:num>
  <w:num w:numId="13">
    <w:abstractNumId w:val="19"/>
  </w:num>
  <w:num w:numId="14">
    <w:abstractNumId w:val="6"/>
  </w:num>
  <w:num w:numId="15">
    <w:abstractNumId w:val="8"/>
  </w:num>
  <w:num w:numId="16">
    <w:abstractNumId w:val="22"/>
  </w:num>
  <w:num w:numId="17">
    <w:abstractNumId w:val="21"/>
  </w:num>
  <w:num w:numId="18">
    <w:abstractNumId w:val="27"/>
  </w:num>
  <w:num w:numId="19">
    <w:abstractNumId w:val="15"/>
  </w:num>
  <w:num w:numId="20">
    <w:abstractNumId w:val="25"/>
  </w:num>
  <w:num w:numId="21">
    <w:abstractNumId w:val="24"/>
  </w:num>
  <w:num w:numId="22">
    <w:abstractNumId w:val="17"/>
  </w:num>
  <w:num w:numId="23">
    <w:abstractNumId w:val="23"/>
  </w:num>
  <w:num w:numId="24">
    <w:abstractNumId w:val="26"/>
  </w:num>
  <w:num w:numId="25">
    <w:abstractNumId w:val="16"/>
  </w:num>
  <w:num w:numId="26">
    <w:abstractNumId w:val="12"/>
  </w:num>
  <w:num w:numId="27">
    <w:abstractNumId w:val="1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D85"/>
    <w:rsid w:val="000144C1"/>
    <w:rsid w:val="00020D56"/>
    <w:rsid w:val="00044BB7"/>
    <w:rsid w:val="00061F8C"/>
    <w:rsid w:val="000805AE"/>
    <w:rsid w:val="0008092F"/>
    <w:rsid w:val="00086A25"/>
    <w:rsid w:val="00093549"/>
    <w:rsid w:val="000B38B7"/>
    <w:rsid w:val="000B706A"/>
    <w:rsid w:val="000C1C18"/>
    <w:rsid w:val="000C56D9"/>
    <w:rsid w:val="00110415"/>
    <w:rsid w:val="001125DA"/>
    <w:rsid w:val="00154772"/>
    <w:rsid w:val="00173374"/>
    <w:rsid w:val="00192CD5"/>
    <w:rsid w:val="00204D33"/>
    <w:rsid w:val="0023205C"/>
    <w:rsid w:val="00237D03"/>
    <w:rsid w:val="00240D90"/>
    <w:rsid w:val="00255CA4"/>
    <w:rsid w:val="00265925"/>
    <w:rsid w:val="002837DE"/>
    <w:rsid w:val="00293831"/>
    <w:rsid w:val="002C1966"/>
    <w:rsid w:val="003007F4"/>
    <w:rsid w:val="003248D3"/>
    <w:rsid w:val="00327CB2"/>
    <w:rsid w:val="00341BB9"/>
    <w:rsid w:val="0035050E"/>
    <w:rsid w:val="00353FDC"/>
    <w:rsid w:val="00367888"/>
    <w:rsid w:val="00381C31"/>
    <w:rsid w:val="00391921"/>
    <w:rsid w:val="003B3434"/>
    <w:rsid w:val="003B5099"/>
    <w:rsid w:val="003B6973"/>
    <w:rsid w:val="003D14E3"/>
    <w:rsid w:val="003E7B31"/>
    <w:rsid w:val="003F59AD"/>
    <w:rsid w:val="004039DE"/>
    <w:rsid w:val="00413607"/>
    <w:rsid w:val="0045357D"/>
    <w:rsid w:val="0045388F"/>
    <w:rsid w:val="00453904"/>
    <w:rsid w:val="004A75DA"/>
    <w:rsid w:val="004C2AB8"/>
    <w:rsid w:val="004D3DD9"/>
    <w:rsid w:val="004F7856"/>
    <w:rsid w:val="005316F8"/>
    <w:rsid w:val="00546F62"/>
    <w:rsid w:val="00551EFB"/>
    <w:rsid w:val="00560633"/>
    <w:rsid w:val="00565485"/>
    <w:rsid w:val="00580238"/>
    <w:rsid w:val="005903E4"/>
    <w:rsid w:val="00593F97"/>
    <w:rsid w:val="0059479F"/>
    <w:rsid w:val="005A3640"/>
    <w:rsid w:val="005A5756"/>
    <w:rsid w:val="005C1155"/>
    <w:rsid w:val="005D1234"/>
    <w:rsid w:val="005D20F6"/>
    <w:rsid w:val="005D29D2"/>
    <w:rsid w:val="005D6774"/>
    <w:rsid w:val="005F7B3C"/>
    <w:rsid w:val="006035AC"/>
    <w:rsid w:val="00642C90"/>
    <w:rsid w:val="006B6E69"/>
    <w:rsid w:val="006C04DA"/>
    <w:rsid w:val="006D7724"/>
    <w:rsid w:val="006E1145"/>
    <w:rsid w:val="006F63AC"/>
    <w:rsid w:val="00707826"/>
    <w:rsid w:val="0072054E"/>
    <w:rsid w:val="00742D92"/>
    <w:rsid w:val="00761EBC"/>
    <w:rsid w:val="00762E72"/>
    <w:rsid w:val="007767E6"/>
    <w:rsid w:val="007A6165"/>
    <w:rsid w:val="007B4037"/>
    <w:rsid w:val="007C5EB0"/>
    <w:rsid w:val="008049F3"/>
    <w:rsid w:val="00806121"/>
    <w:rsid w:val="00813DA8"/>
    <w:rsid w:val="00824E0A"/>
    <w:rsid w:val="008269AD"/>
    <w:rsid w:val="0083233C"/>
    <w:rsid w:val="00835F42"/>
    <w:rsid w:val="00842F60"/>
    <w:rsid w:val="00853060"/>
    <w:rsid w:val="00853D97"/>
    <w:rsid w:val="00855CFC"/>
    <w:rsid w:val="0087427D"/>
    <w:rsid w:val="00895E70"/>
    <w:rsid w:val="008B352B"/>
    <w:rsid w:val="008B50CB"/>
    <w:rsid w:val="008C2087"/>
    <w:rsid w:val="00915BB5"/>
    <w:rsid w:val="00932FA1"/>
    <w:rsid w:val="00946041"/>
    <w:rsid w:val="00971CEB"/>
    <w:rsid w:val="00980C9C"/>
    <w:rsid w:val="0099139F"/>
    <w:rsid w:val="009C7762"/>
    <w:rsid w:val="00A129C2"/>
    <w:rsid w:val="00A26DC4"/>
    <w:rsid w:val="00A45D7B"/>
    <w:rsid w:val="00A574BA"/>
    <w:rsid w:val="00A66A64"/>
    <w:rsid w:val="00A74F32"/>
    <w:rsid w:val="00A818FC"/>
    <w:rsid w:val="00A95B5E"/>
    <w:rsid w:val="00AB12C5"/>
    <w:rsid w:val="00AB446C"/>
    <w:rsid w:val="00AE30FD"/>
    <w:rsid w:val="00B07ED7"/>
    <w:rsid w:val="00B12CCC"/>
    <w:rsid w:val="00B15D85"/>
    <w:rsid w:val="00B316D7"/>
    <w:rsid w:val="00B5020B"/>
    <w:rsid w:val="00B51E94"/>
    <w:rsid w:val="00B56B4B"/>
    <w:rsid w:val="00B607AB"/>
    <w:rsid w:val="00B743D0"/>
    <w:rsid w:val="00B74973"/>
    <w:rsid w:val="00BC3CAC"/>
    <w:rsid w:val="00BD3664"/>
    <w:rsid w:val="00BD63B5"/>
    <w:rsid w:val="00BE352B"/>
    <w:rsid w:val="00BF5C93"/>
    <w:rsid w:val="00C050AE"/>
    <w:rsid w:val="00C17C5F"/>
    <w:rsid w:val="00C21194"/>
    <w:rsid w:val="00C3071C"/>
    <w:rsid w:val="00C43B39"/>
    <w:rsid w:val="00C75C4B"/>
    <w:rsid w:val="00C764BF"/>
    <w:rsid w:val="00C80371"/>
    <w:rsid w:val="00C87768"/>
    <w:rsid w:val="00C96F40"/>
    <w:rsid w:val="00CD22B6"/>
    <w:rsid w:val="00CE6E55"/>
    <w:rsid w:val="00CF7545"/>
    <w:rsid w:val="00D24096"/>
    <w:rsid w:val="00D36F88"/>
    <w:rsid w:val="00D706BE"/>
    <w:rsid w:val="00DB0790"/>
    <w:rsid w:val="00DB2A0C"/>
    <w:rsid w:val="00DC22A2"/>
    <w:rsid w:val="00DE2E73"/>
    <w:rsid w:val="00DE7EB0"/>
    <w:rsid w:val="00DF64A0"/>
    <w:rsid w:val="00DF70E8"/>
    <w:rsid w:val="00E243A9"/>
    <w:rsid w:val="00E32AA4"/>
    <w:rsid w:val="00E34DF5"/>
    <w:rsid w:val="00E35940"/>
    <w:rsid w:val="00E3646A"/>
    <w:rsid w:val="00E6465E"/>
    <w:rsid w:val="00EB1677"/>
    <w:rsid w:val="00EB1CD6"/>
    <w:rsid w:val="00F06269"/>
    <w:rsid w:val="00F14510"/>
    <w:rsid w:val="00F345AC"/>
    <w:rsid w:val="00F40EF9"/>
    <w:rsid w:val="00F967FE"/>
    <w:rsid w:val="00FB22D4"/>
    <w:rsid w:val="00FB5FE0"/>
    <w:rsid w:val="00FC3DF6"/>
    <w:rsid w:val="00FC46F1"/>
    <w:rsid w:val="00FF5AF6"/>
    <w:rsid w:val="00F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607"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CE6E55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5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32A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F70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2A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F70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4C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4C1"/>
  </w:style>
  <w:style w:type="paragraph" w:styleId="Fuzeile">
    <w:name w:val="footer"/>
    <w:basedOn w:val="Standard"/>
    <w:link w:val="FuzeileZchn"/>
    <w:uiPriority w:val="99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44C1"/>
  </w:style>
  <w:style w:type="character" w:customStyle="1" w:styleId="berschrift1Zchn">
    <w:name w:val="Überschrift 1 Zchn"/>
    <w:basedOn w:val="Absatz-Standardschriftart"/>
    <w:link w:val="berschrift1"/>
    <w:uiPriority w:val="9"/>
    <w:rsid w:val="00CE6E55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07ED7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07ED7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B07ED7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B07ED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B07ED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5E70"/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2AA4"/>
    <w:rPr>
      <w:rFonts w:asciiTheme="majorHAnsi" w:eastAsiaTheme="majorEastAsia" w:hAnsiTheme="majorHAnsi" w:cstheme="majorBidi"/>
      <w:b/>
      <w:bCs/>
      <w:color w:val="2F70BF"/>
    </w:rPr>
  </w:style>
  <w:style w:type="table" w:styleId="Tabellenraster">
    <w:name w:val="Table Grid"/>
    <w:basedOn w:val="NormaleTabelle"/>
    <w:uiPriority w:val="59"/>
    <w:rsid w:val="00CF7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4D3DD9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2AA4"/>
    <w:rPr>
      <w:rFonts w:asciiTheme="majorHAnsi" w:eastAsiaTheme="majorEastAsia" w:hAnsiTheme="majorHAnsi" w:cstheme="majorBidi"/>
      <w:b/>
      <w:bCs/>
      <w:i/>
      <w:iCs/>
      <w:color w:val="2F70BF"/>
    </w:rPr>
  </w:style>
  <w:style w:type="paragraph" w:styleId="Listenabsatz">
    <w:name w:val="List Paragraph"/>
    <w:basedOn w:val="Standard"/>
    <w:uiPriority w:val="34"/>
    <w:qFormat/>
    <w:rsid w:val="005D29D2"/>
    <w:pPr>
      <w:suppressAutoHyphens/>
      <w:ind w:left="720"/>
    </w:pPr>
    <w:rPr>
      <w:rFonts w:ascii="Myriad Pro" w:eastAsia="Myriad Pro" w:hAnsi="Myriad Pro" w:cs="Myriad Pro"/>
      <w:lang w:eastAsia="ar-SA"/>
    </w:rPr>
  </w:style>
  <w:style w:type="paragraph" w:styleId="KeinLeerraum">
    <w:name w:val="No Spacing"/>
    <w:uiPriority w:val="1"/>
    <w:qFormat/>
    <w:rsid w:val="002C1966"/>
    <w:pPr>
      <w:spacing w:after="0" w:line="240" w:lineRule="auto"/>
      <w:jc w:val="both"/>
    </w:pPr>
  </w:style>
  <w:style w:type="paragraph" w:customStyle="1" w:styleId="CM4">
    <w:name w:val="CM4"/>
    <w:basedOn w:val="Standard"/>
    <w:next w:val="Standard"/>
    <w:uiPriority w:val="99"/>
    <w:rsid w:val="005D6774"/>
    <w:pPr>
      <w:autoSpaceDE w:val="0"/>
      <w:autoSpaceDN w:val="0"/>
      <w:adjustRightInd w:val="0"/>
      <w:spacing w:after="0" w:line="240" w:lineRule="auto"/>
      <w:jc w:val="left"/>
    </w:pPr>
    <w:rPr>
      <w:rFonts w:ascii="EUAlbertina" w:eastAsiaTheme="minorHAnsi" w:hAnsi="EUAlbertina"/>
      <w:sz w:val="24"/>
      <w:szCs w:val="24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94604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607"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CE6E55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5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32A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F70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2A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F70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4C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4C1"/>
  </w:style>
  <w:style w:type="paragraph" w:styleId="Fuzeile">
    <w:name w:val="footer"/>
    <w:basedOn w:val="Standard"/>
    <w:link w:val="FuzeileZchn"/>
    <w:uiPriority w:val="99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44C1"/>
  </w:style>
  <w:style w:type="character" w:customStyle="1" w:styleId="berschrift1Zchn">
    <w:name w:val="Überschrift 1 Zchn"/>
    <w:basedOn w:val="Absatz-Standardschriftart"/>
    <w:link w:val="berschrift1"/>
    <w:uiPriority w:val="9"/>
    <w:rsid w:val="00CE6E55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07ED7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07ED7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B07ED7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B07ED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B07ED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5E70"/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2AA4"/>
    <w:rPr>
      <w:rFonts w:asciiTheme="majorHAnsi" w:eastAsiaTheme="majorEastAsia" w:hAnsiTheme="majorHAnsi" w:cstheme="majorBidi"/>
      <w:b/>
      <w:bCs/>
      <w:color w:val="2F70BF"/>
    </w:rPr>
  </w:style>
  <w:style w:type="table" w:styleId="Tabellenraster">
    <w:name w:val="Table Grid"/>
    <w:basedOn w:val="NormaleTabelle"/>
    <w:uiPriority w:val="59"/>
    <w:rsid w:val="00CF7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4D3DD9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2AA4"/>
    <w:rPr>
      <w:rFonts w:asciiTheme="majorHAnsi" w:eastAsiaTheme="majorEastAsia" w:hAnsiTheme="majorHAnsi" w:cstheme="majorBidi"/>
      <w:b/>
      <w:bCs/>
      <w:i/>
      <w:iCs/>
      <w:color w:val="2F70BF"/>
    </w:rPr>
  </w:style>
  <w:style w:type="paragraph" w:styleId="Listenabsatz">
    <w:name w:val="List Paragraph"/>
    <w:basedOn w:val="Standard"/>
    <w:uiPriority w:val="34"/>
    <w:qFormat/>
    <w:rsid w:val="005D29D2"/>
    <w:pPr>
      <w:suppressAutoHyphens/>
      <w:ind w:left="720"/>
    </w:pPr>
    <w:rPr>
      <w:rFonts w:ascii="Myriad Pro" w:eastAsia="Myriad Pro" w:hAnsi="Myriad Pro" w:cs="Myriad Pro"/>
      <w:lang w:eastAsia="ar-SA"/>
    </w:rPr>
  </w:style>
  <w:style w:type="paragraph" w:styleId="KeinLeerraum">
    <w:name w:val="No Spacing"/>
    <w:uiPriority w:val="1"/>
    <w:qFormat/>
    <w:rsid w:val="002C1966"/>
    <w:pPr>
      <w:spacing w:after="0" w:line="240" w:lineRule="auto"/>
      <w:jc w:val="both"/>
    </w:pPr>
  </w:style>
  <w:style w:type="paragraph" w:customStyle="1" w:styleId="CM4">
    <w:name w:val="CM4"/>
    <w:basedOn w:val="Standard"/>
    <w:next w:val="Standard"/>
    <w:uiPriority w:val="99"/>
    <w:rsid w:val="005D6774"/>
    <w:pPr>
      <w:autoSpaceDE w:val="0"/>
      <w:autoSpaceDN w:val="0"/>
      <w:adjustRightInd w:val="0"/>
      <w:spacing w:after="0" w:line="240" w:lineRule="auto"/>
      <w:jc w:val="left"/>
    </w:pPr>
    <w:rPr>
      <w:rFonts w:ascii="EUAlbertina" w:eastAsiaTheme="minorHAnsi" w:hAnsi="EUAlbertina"/>
      <w:sz w:val="24"/>
      <w:szCs w:val="24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94604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Vorschriften\01_QMS-Dokumentation\VA01-01_Dokumentenlenkung\FB01-01_01_Vorlage_VA_AA_TW_20120413_F00_b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24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4C955-5F8C-4B06-A569-2D187D6B6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FB01-01_01_Vorlage_VA_AA_TW_20120413_F00_bh.dotx</Template>
  <TotalTime>0</TotalTime>
  <Pages>5</Pages>
  <Words>884</Words>
  <Characters>5575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TW Prüfanweisung für Druckmessgeräte Pdr 1 bis 5 sowie der Zusatzgeräte</vt:lpstr>
    </vt:vector>
  </TitlesOfParts>
  <Company>waggon24 GmbH</Company>
  <LinksUpToDate>false</LinksUpToDate>
  <CharactersWithSpaces>6447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 Prüfanweisung für Druckmessgeräte Pdr 1 bis 5 sowie der Zusatzgeräte</dc:title>
  <dc:creator>Benno Hein</dc:creator>
  <cp:lastModifiedBy>Benno Hein</cp:lastModifiedBy>
  <cp:revision>2</cp:revision>
  <cp:lastPrinted>2013-05-31T14:15:00Z</cp:lastPrinted>
  <dcterms:created xsi:type="dcterms:W3CDTF">2013-05-31T12:48:00Z</dcterms:created>
  <dcterms:modified xsi:type="dcterms:W3CDTF">2013-05-31T14:15:00Z</dcterms:modified>
</cp:coreProperties>
</file>