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sdt>
      <w:sdtPr>
        <w:docPartObj>
          <w:docPartGallery w:val="Table of Contents"/>
          <w:docPartUnique w:val="true"/>
        </w:docPartObj>
      </w:sdtPr>
      <w:sdtContent>
        <w:p>
          <w:pPr>
            <w:pStyle w:val="Inhaltsverzeichnisberschrift"/>
            <w:spacing w:before="240" w:after="240"/>
            <w:rPr>
              <w:rFonts w:ascii="Myriad Pro" w:hAnsi="Myriad Pro"/>
            </w:rPr>
          </w:pPr>
          <w:r>
            <w:rPr/>
            <w:t>Inhaltsverzeichnis</w:t>
          </w:r>
        </w:p>
        <w:p>
          <w:pPr>
            <w:pStyle w:val="Inhaltsverzeichnis1"/>
            <w:tabs>
              <w:tab w:val="clear" w:pos="708"/>
              <w:tab w:val="right" w:pos="9062" w:leader="dot"/>
            </w:tabs>
            <w:rPr/>
          </w:pPr>
          <w:r>
            <w:fldChar w:fldCharType="begin"/>
          </w:r>
          <w:r>
            <w:rPr>
              <w:webHidden/>
              <w:rStyle w:val="Verzeichnissprung"/>
            </w:rPr>
            <w:instrText xml:space="preserve"> TOC \z \o "1-3" \u \h</w:instrText>
          </w:r>
          <w:r>
            <w:rPr>
              <w:webHidden/>
              <w:rStyle w:val="Verzeichnissprung"/>
            </w:rPr>
            <w:fldChar w:fldCharType="separate"/>
          </w:r>
          <w:hyperlink w:anchor="_Toc445113539">
            <w:r>
              <w:rPr>
                <w:webHidden/>
                <w:rStyle w:val="Verzeichnissprung"/>
              </w:rPr>
              <w:t>1. Zweck</w:t>
            </w:r>
            <w:r>
              <w:rPr>
                <w:webHidden/>
              </w:rPr>
              <w:fldChar w:fldCharType="begin"/>
            </w:r>
            <w:r>
              <w:rPr>
                <w:webHidden/>
              </w:rPr>
              <w:instrText xml:space="preserve">PAGEREF _Toc445113539 \h</w:instrText>
            </w:r>
            <w:r>
              <w:rPr>
                <w:webHidden/>
              </w:rPr>
              <w:fldChar w:fldCharType="separate"/>
            </w:r>
            <w:r>
              <w:rPr>
                <w:rStyle w:val="Verzeichnissprung"/>
                <w:vanish w:val="false"/>
              </w:rPr>
              <w:tab/>
              <w:t>2</w:t>
            </w:r>
            <w:r>
              <w:rPr>
                <w:webHidden/>
              </w:rPr>
              <w:fldChar w:fldCharType="end"/>
            </w:r>
          </w:hyperlink>
        </w:p>
        <w:p>
          <w:pPr>
            <w:pStyle w:val="Inhaltsverzeichnis1"/>
            <w:tabs>
              <w:tab w:val="clear" w:pos="708"/>
              <w:tab w:val="right" w:pos="9062" w:leader="dot"/>
            </w:tabs>
            <w:rPr/>
          </w:pPr>
          <w:hyperlink w:anchor="_Toc445113540">
            <w:r>
              <w:rPr>
                <w:webHidden/>
                <w:rStyle w:val="Verzeichnissprung"/>
              </w:rPr>
              <w:t>2. Geltungsbereich</w:t>
            </w:r>
            <w:r>
              <w:rPr>
                <w:webHidden/>
              </w:rPr>
              <w:fldChar w:fldCharType="begin"/>
            </w:r>
            <w:r>
              <w:rPr>
                <w:webHidden/>
              </w:rPr>
              <w:instrText xml:space="preserve">PAGEREF _Toc445113540 \h</w:instrText>
            </w:r>
            <w:r>
              <w:rPr>
                <w:webHidden/>
              </w:rPr>
              <w:fldChar w:fldCharType="separate"/>
            </w:r>
            <w:r>
              <w:rPr>
                <w:rStyle w:val="Verzeichnissprung"/>
                <w:vanish w:val="false"/>
              </w:rPr>
              <w:tab/>
              <w:t>2</w:t>
            </w:r>
            <w:r>
              <w:rPr>
                <w:webHidden/>
              </w:rPr>
              <w:fldChar w:fldCharType="end"/>
            </w:r>
          </w:hyperlink>
        </w:p>
        <w:p>
          <w:pPr>
            <w:pStyle w:val="Inhaltsverzeichnis1"/>
            <w:tabs>
              <w:tab w:val="clear" w:pos="708"/>
              <w:tab w:val="right" w:pos="9062" w:leader="dot"/>
            </w:tabs>
            <w:rPr/>
          </w:pPr>
          <w:hyperlink w:anchor="_Toc445113541">
            <w:r>
              <w:rPr>
                <w:webHidden/>
                <w:rStyle w:val="Verzeichnissprung"/>
              </w:rPr>
              <w:t>3. Zuständigkeiten</w:t>
            </w:r>
            <w:r>
              <w:rPr>
                <w:webHidden/>
              </w:rPr>
              <w:fldChar w:fldCharType="begin"/>
            </w:r>
            <w:r>
              <w:rPr>
                <w:webHidden/>
              </w:rPr>
              <w:instrText xml:space="preserve">PAGEREF _Toc445113541 \h</w:instrText>
            </w:r>
            <w:r>
              <w:rPr>
                <w:webHidden/>
              </w:rPr>
              <w:fldChar w:fldCharType="separate"/>
            </w:r>
            <w:r>
              <w:rPr>
                <w:rStyle w:val="Verzeichnissprung"/>
                <w:vanish w:val="false"/>
              </w:rPr>
              <w:tab/>
              <w:t>2</w:t>
            </w:r>
            <w:r>
              <w:rPr>
                <w:webHidden/>
              </w:rPr>
              <w:fldChar w:fldCharType="end"/>
            </w:r>
          </w:hyperlink>
        </w:p>
        <w:p>
          <w:pPr>
            <w:pStyle w:val="Inhaltsverzeichnis2"/>
            <w:tabs>
              <w:tab w:val="clear" w:pos="708"/>
              <w:tab w:val="right" w:pos="9062" w:leader="dot"/>
            </w:tabs>
            <w:rPr/>
          </w:pPr>
          <w:hyperlink w:anchor="_Toc445113542">
            <w:r>
              <w:rPr>
                <w:webHidden/>
                <w:rStyle w:val="Verzeichnissprung"/>
              </w:rPr>
              <w:t>Verantwortungsmatrix</w:t>
            </w:r>
            <w:r>
              <w:rPr>
                <w:webHidden/>
              </w:rPr>
              <w:fldChar w:fldCharType="begin"/>
            </w:r>
            <w:r>
              <w:rPr>
                <w:webHidden/>
              </w:rPr>
              <w:instrText xml:space="preserve">PAGEREF _Toc445113542 \h</w:instrText>
            </w:r>
            <w:r>
              <w:rPr>
                <w:webHidden/>
              </w:rPr>
              <w:fldChar w:fldCharType="separate"/>
            </w:r>
            <w:r>
              <w:rPr>
                <w:rStyle w:val="Verzeichnissprung"/>
                <w:vanish w:val="false"/>
              </w:rPr>
              <w:tab/>
              <w:t>2</w:t>
            </w:r>
            <w:r>
              <w:rPr>
                <w:webHidden/>
              </w:rPr>
              <w:fldChar w:fldCharType="end"/>
            </w:r>
          </w:hyperlink>
        </w:p>
        <w:p>
          <w:pPr>
            <w:pStyle w:val="Inhaltsverzeichnis1"/>
            <w:tabs>
              <w:tab w:val="clear" w:pos="708"/>
              <w:tab w:val="right" w:pos="9062" w:leader="dot"/>
            </w:tabs>
            <w:rPr/>
          </w:pPr>
          <w:hyperlink w:anchor="_Toc445113543">
            <w:r>
              <w:rPr>
                <w:webHidden/>
                <w:rStyle w:val="Verzeichnissprung"/>
              </w:rPr>
              <w:t>4. Beschreibung</w:t>
            </w:r>
            <w:r>
              <w:rPr>
                <w:webHidden/>
              </w:rPr>
              <w:fldChar w:fldCharType="begin"/>
            </w:r>
            <w:r>
              <w:rPr>
                <w:webHidden/>
              </w:rPr>
              <w:instrText xml:space="preserve">PAGEREF _Toc445113543 \h</w:instrText>
            </w:r>
            <w:r>
              <w:rPr>
                <w:webHidden/>
              </w:rPr>
              <w:fldChar w:fldCharType="separate"/>
            </w:r>
            <w:r>
              <w:rPr>
                <w:rStyle w:val="Verzeichnissprung"/>
                <w:vanish w:val="false"/>
              </w:rPr>
              <w:tab/>
              <w:t>3</w:t>
            </w:r>
            <w:r>
              <w:rPr>
                <w:webHidden/>
              </w:rPr>
              <w:fldChar w:fldCharType="end"/>
            </w:r>
          </w:hyperlink>
        </w:p>
        <w:p>
          <w:pPr>
            <w:pStyle w:val="Inhaltsverzeichnis1"/>
            <w:tabs>
              <w:tab w:val="clear" w:pos="708"/>
              <w:tab w:val="right" w:pos="9062" w:leader="dot"/>
            </w:tabs>
            <w:rPr/>
          </w:pPr>
          <w:hyperlink w:anchor="_Toc445113544">
            <w:r>
              <w:rPr>
                <w:webHidden/>
                <w:rStyle w:val="Verzeichnissprung"/>
              </w:rPr>
              <w:t>4.1 Übergeordnete Dokumente</w:t>
            </w:r>
            <w:r>
              <w:rPr>
                <w:webHidden/>
              </w:rPr>
              <w:fldChar w:fldCharType="begin"/>
            </w:r>
            <w:r>
              <w:rPr>
                <w:webHidden/>
              </w:rPr>
              <w:instrText xml:space="preserve">PAGEREF _Toc445113544 \h</w:instrText>
            </w:r>
            <w:r>
              <w:rPr>
                <w:webHidden/>
              </w:rPr>
              <w:fldChar w:fldCharType="separate"/>
            </w:r>
            <w:r>
              <w:rPr>
                <w:rStyle w:val="Verzeichnissprung"/>
                <w:vanish w:val="false"/>
              </w:rPr>
              <w:tab/>
              <w:t>3</w:t>
            </w:r>
            <w:r>
              <w:rPr>
                <w:webHidden/>
              </w:rPr>
              <w:fldChar w:fldCharType="end"/>
            </w:r>
          </w:hyperlink>
        </w:p>
        <w:p>
          <w:pPr>
            <w:pStyle w:val="Inhaltsverzeichnis3"/>
            <w:tabs>
              <w:tab w:val="clear" w:pos="708"/>
              <w:tab w:val="right" w:pos="9062" w:leader="dot"/>
            </w:tabs>
            <w:rPr/>
          </w:pPr>
          <w:hyperlink w:anchor="_Toc445113545">
            <w:r>
              <w:rPr>
                <w:webHidden/>
                <w:rStyle w:val="Verzeichnissprung"/>
              </w:rPr>
              <w:t>Verantwortlichkeiten</w:t>
            </w:r>
            <w:r>
              <w:rPr>
                <w:webHidden/>
              </w:rPr>
              <w:fldChar w:fldCharType="begin"/>
            </w:r>
            <w:r>
              <w:rPr>
                <w:webHidden/>
              </w:rPr>
              <w:instrText xml:space="preserve">PAGEREF _Toc445113545 \h</w:instrText>
            </w:r>
            <w:r>
              <w:rPr>
                <w:webHidden/>
              </w:rPr>
              <w:fldChar w:fldCharType="separate"/>
            </w:r>
            <w:r>
              <w:rPr>
                <w:rStyle w:val="Verzeichnissprung"/>
                <w:vanish w:val="false"/>
              </w:rPr>
              <w:tab/>
              <w:t>3</w:t>
            </w:r>
            <w:r>
              <w:rPr>
                <w:webHidden/>
              </w:rPr>
              <w:fldChar w:fldCharType="end"/>
            </w:r>
          </w:hyperlink>
        </w:p>
        <w:p>
          <w:pPr>
            <w:pStyle w:val="Inhaltsverzeichnis2"/>
            <w:tabs>
              <w:tab w:val="clear" w:pos="708"/>
              <w:tab w:val="right" w:pos="9062" w:leader="dot"/>
            </w:tabs>
            <w:rPr/>
          </w:pPr>
          <w:hyperlink w:anchor="_Toc445113546">
            <w:r>
              <w:rPr>
                <w:webHidden/>
                <w:rStyle w:val="Verzeichnissprung"/>
              </w:rPr>
              <w:t>4.1.1 Lenkung übergeordneter Dokumente</w:t>
            </w:r>
            <w:r>
              <w:rPr>
                <w:webHidden/>
              </w:rPr>
              <w:fldChar w:fldCharType="begin"/>
            </w:r>
            <w:r>
              <w:rPr>
                <w:webHidden/>
              </w:rPr>
              <w:instrText xml:space="preserve">PAGEREF _Toc445113546 \h</w:instrText>
            </w:r>
            <w:r>
              <w:rPr>
                <w:webHidden/>
              </w:rPr>
              <w:fldChar w:fldCharType="separate"/>
            </w:r>
            <w:r>
              <w:rPr>
                <w:rStyle w:val="Verzeichnissprung"/>
                <w:vanish w:val="false"/>
              </w:rPr>
              <w:tab/>
              <w:t>3</w:t>
            </w:r>
            <w:r>
              <w:rPr>
                <w:webHidden/>
              </w:rPr>
              <w:fldChar w:fldCharType="end"/>
            </w:r>
          </w:hyperlink>
        </w:p>
        <w:p>
          <w:pPr>
            <w:pStyle w:val="Inhaltsverzeichnis1"/>
            <w:tabs>
              <w:tab w:val="clear" w:pos="708"/>
              <w:tab w:val="right" w:pos="9062" w:leader="dot"/>
            </w:tabs>
            <w:rPr/>
          </w:pPr>
          <w:hyperlink w:anchor="_Toc445113547">
            <w:r>
              <w:rPr>
                <w:webHidden/>
                <w:rStyle w:val="Verzeichnissprung"/>
              </w:rPr>
              <w:t>4.2 Ausgabe, Verteilung und Revision dokumentierter Informationen</w:t>
            </w:r>
            <w:r>
              <w:rPr>
                <w:webHidden/>
              </w:rPr>
              <w:fldChar w:fldCharType="begin"/>
            </w:r>
            <w:r>
              <w:rPr>
                <w:webHidden/>
              </w:rPr>
              <w:instrText xml:space="preserve">PAGEREF _Toc445113547 \h</w:instrText>
            </w:r>
            <w:r>
              <w:rPr>
                <w:webHidden/>
              </w:rPr>
              <w:fldChar w:fldCharType="separate"/>
            </w:r>
            <w:r>
              <w:rPr>
                <w:rStyle w:val="Verzeichnissprung"/>
                <w:vanish w:val="false"/>
              </w:rPr>
              <w:tab/>
              <w:t>4</w:t>
            </w:r>
            <w:r>
              <w:rPr>
                <w:webHidden/>
              </w:rPr>
              <w:fldChar w:fldCharType="end"/>
            </w:r>
          </w:hyperlink>
        </w:p>
        <w:p>
          <w:pPr>
            <w:pStyle w:val="Inhaltsverzeichnis2"/>
            <w:tabs>
              <w:tab w:val="clear" w:pos="708"/>
              <w:tab w:val="right" w:pos="9062" w:leader="dot"/>
            </w:tabs>
            <w:rPr/>
          </w:pPr>
          <w:hyperlink w:anchor="_Toc445113548">
            <w:r>
              <w:rPr>
                <w:webHidden/>
                <w:rStyle w:val="Verzeichnissprung"/>
              </w:rPr>
              <w:t>4.2.1 Verfahrensanweisungen (VA)</w:t>
            </w:r>
            <w:r>
              <w:rPr>
                <w:webHidden/>
              </w:rPr>
              <w:fldChar w:fldCharType="begin"/>
            </w:r>
            <w:r>
              <w:rPr>
                <w:webHidden/>
              </w:rPr>
              <w:instrText xml:space="preserve">PAGEREF _Toc445113548 \h</w:instrText>
            </w:r>
            <w:r>
              <w:rPr>
                <w:webHidden/>
              </w:rPr>
              <w:fldChar w:fldCharType="separate"/>
            </w:r>
            <w:r>
              <w:rPr>
                <w:rStyle w:val="Verzeichnissprung"/>
                <w:vanish w:val="false"/>
              </w:rPr>
              <w:tab/>
              <w:t>4</w:t>
            </w:r>
            <w:r>
              <w:rPr>
                <w:webHidden/>
              </w:rPr>
              <w:fldChar w:fldCharType="end"/>
            </w:r>
          </w:hyperlink>
        </w:p>
        <w:p>
          <w:pPr>
            <w:pStyle w:val="Inhaltsverzeichnis2"/>
            <w:tabs>
              <w:tab w:val="clear" w:pos="708"/>
              <w:tab w:val="right" w:pos="9062" w:leader="dot"/>
            </w:tabs>
            <w:rPr/>
          </w:pPr>
          <w:hyperlink w:anchor="_Toc445113549">
            <w:r>
              <w:rPr>
                <w:webHidden/>
                <w:rStyle w:val="Verzeichnissprung"/>
              </w:rPr>
              <w:t>4.2.2 Arbeitsanweisungen (AA)</w:t>
            </w:r>
            <w:r>
              <w:rPr>
                <w:webHidden/>
              </w:rPr>
              <w:fldChar w:fldCharType="begin"/>
            </w:r>
            <w:r>
              <w:rPr>
                <w:webHidden/>
              </w:rPr>
              <w:instrText xml:space="preserve">PAGEREF _Toc445113549 \h</w:instrText>
            </w:r>
            <w:r>
              <w:rPr>
                <w:webHidden/>
              </w:rPr>
              <w:fldChar w:fldCharType="separate"/>
            </w:r>
            <w:r>
              <w:rPr>
                <w:rStyle w:val="Verzeichnissprung"/>
                <w:vanish w:val="false"/>
              </w:rPr>
              <w:tab/>
              <w:t>4</w:t>
            </w:r>
            <w:r>
              <w:rPr>
                <w:webHidden/>
              </w:rPr>
              <w:fldChar w:fldCharType="end"/>
            </w:r>
          </w:hyperlink>
        </w:p>
        <w:p>
          <w:pPr>
            <w:pStyle w:val="Inhaltsverzeichnis2"/>
            <w:tabs>
              <w:tab w:val="clear" w:pos="708"/>
              <w:tab w:val="right" w:pos="9062" w:leader="dot"/>
            </w:tabs>
            <w:rPr/>
          </w:pPr>
          <w:hyperlink w:anchor="_Toc445113550">
            <w:r>
              <w:rPr>
                <w:webHidden/>
                <w:rStyle w:val="Verzeichnissprung"/>
              </w:rPr>
              <w:t>4.2.3 Technische Weisungen (TW)</w:t>
            </w:r>
            <w:r>
              <w:rPr>
                <w:webHidden/>
              </w:rPr>
              <w:fldChar w:fldCharType="begin"/>
            </w:r>
            <w:r>
              <w:rPr>
                <w:webHidden/>
              </w:rPr>
              <w:instrText xml:space="preserve">PAGEREF _Toc445113550 \h</w:instrText>
            </w:r>
            <w:r>
              <w:rPr>
                <w:webHidden/>
              </w:rPr>
              <w:fldChar w:fldCharType="separate"/>
            </w:r>
            <w:r>
              <w:rPr>
                <w:rStyle w:val="Verzeichnissprung"/>
                <w:vanish w:val="false"/>
              </w:rPr>
              <w:tab/>
              <w:t>5</w:t>
            </w:r>
            <w:r>
              <w:rPr>
                <w:webHidden/>
              </w:rPr>
              <w:fldChar w:fldCharType="end"/>
            </w:r>
          </w:hyperlink>
        </w:p>
        <w:p>
          <w:pPr>
            <w:pStyle w:val="Inhaltsverzeichnis1"/>
            <w:tabs>
              <w:tab w:val="clear" w:pos="708"/>
              <w:tab w:val="right" w:pos="9062" w:leader="dot"/>
            </w:tabs>
            <w:rPr/>
          </w:pPr>
          <w:hyperlink w:anchor="_Toc445113551">
            <w:r>
              <w:rPr>
                <w:webHidden/>
                <w:rStyle w:val="Verzeichnissprung"/>
              </w:rPr>
              <w:t>4.3 Kennzeichnung und Speicherung dokumentierter Informationen</w:t>
            </w:r>
            <w:r>
              <w:rPr>
                <w:webHidden/>
              </w:rPr>
              <w:fldChar w:fldCharType="begin"/>
            </w:r>
            <w:r>
              <w:rPr>
                <w:webHidden/>
              </w:rPr>
              <w:instrText xml:space="preserve">PAGEREF _Toc445113551 \h</w:instrText>
            </w:r>
            <w:r>
              <w:rPr>
                <w:webHidden/>
              </w:rPr>
              <w:fldChar w:fldCharType="separate"/>
            </w:r>
            <w:r>
              <w:rPr>
                <w:rStyle w:val="Verzeichnissprung"/>
                <w:vanish w:val="false"/>
              </w:rPr>
              <w:tab/>
              <w:t>5</w:t>
            </w:r>
            <w:r>
              <w:rPr>
                <w:webHidden/>
              </w:rPr>
              <w:fldChar w:fldCharType="end"/>
            </w:r>
          </w:hyperlink>
        </w:p>
        <w:p>
          <w:pPr>
            <w:pStyle w:val="Inhaltsverzeichnis3"/>
            <w:tabs>
              <w:tab w:val="clear" w:pos="708"/>
              <w:tab w:val="right" w:pos="9062" w:leader="dot"/>
            </w:tabs>
            <w:rPr/>
          </w:pPr>
          <w:hyperlink w:anchor="_Toc445113552">
            <w:r>
              <w:rPr>
                <w:webHidden/>
                <w:rStyle w:val="Verzeichnissprung"/>
              </w:rPr>
              <w:t>4.3.1 Kennzeichnung</w:t>
            </w:r>
            <w:r>
              <w:rPr>
                <w:webHidden/>
              </w:rPr>
              <w:fldChar w:fldCharType="begin"/>
            </w:r>
            <w:r>
              <w:rPr>
                <w:webHidden/>
              </w:rPr>
              <w:instrText xml:space="preserve">PAGEREF _Toc445113552 \h</w:instrText>
            </w:r>
            <w:r>
              <w:rPr>
                <w:webHidden/>
              </w:rPr>
              <w:fldChar w:fldCharType="separate"/>
            </w:r>
            <w:r>
              <w:rPr>
                <w:rStyle w:val="Verzeichnissprung"/>
                <w:vanish w:val="false"/>
              </w:rPr>
              <w:tab/>
              <w:t>6</w:t>
            </w:r>
            <w:r>
              <w:rPr>
                <w:webHidden/>
              </w:rPr>
              <w:fldChar w:fldCharType="end"/>
            </w:r>
          </w:hyperlink>
        </w:p>
        <w:p>
          <w:pPr>
            <w:pStyle w:val="Inhaltsverzeichnis3"/>
            <w:tabs>
              <w:tab w:val="clear" w:pos="708"/>
              <w:tab w:val="right" w:pos="9062" w:leader="dot"/>
            </w:tabs>
            <w:rPr/>
          </w:pPr>
          <w:hyperlink w:anchor="_Toc445113553">
            <w:r>
              <w:rPr>
                <w:webHidden/>
                <w:rStyle w:val="Verzeichnissprung"/>
              </w:rPr>
              <w:t>4.3.2 Speicherung dokumentierter Informationen</w:t>
            </w:r>
            <w:r>
              <w:rPr>
                <w:webHidden/>
              </w:rPr>
              <w:fldChar w:fldCharType="begin"/>
            </w:r>
            <w:r>
              <w:rPr>
                <w:webHidden/>
              </w:rPr>
              <w:instrText xml:space="preserve">PAGEREF _Toc445113553 \h</w:instrText>
            </w:r>
            <w:r>
              <w:rPr>
                <w:webHidden/>
              </w:rPr>
              <w:fldChar w:fldCharType="separate"/>
            </w:r>
            <w:r>
              <w:rPr>
                <w:rStyle w:val="Verzeichnissprung"/>
                <w:vanish w:val="false"/>
              </w:rPr>
              <w:tab/>
              <w:t>7</w:t>
            </w:r>
            <w:r>
              <w:rPr>
                <w:webHidden/>
              </w:rPr>
              <w:fldChar w:fldCharType="end"/>
            </w:r>
          </w:hyperlink>
        </w:p>
        <w:p>
          <w:pPr>
            <w:pStyle w:val="Inhaltsverzeichnis1"/>
            <w:tabs>
              <w:tab w:val="clear" w:pos="708"/>
              <w:tab w:val="right" w:pos="9062" w:leader="dot"/>
            </w:tabs>
            <w:rPr/>
          </w:pPr>
          <w:hyperlink w:anchor="_Toc445113554">
            <w:r>
              <w:rPr>
                <w:webHidden/>
                <w:rStyle w:val="Verzeichnissprung"/>
              </w:rPr>
              <w:t>4.4 Verteilung von Unterlagen</w:t>
            </w:r>
            <w:r>
              <w:rPr>
                <w:webHidden/>
              </w:rPr>
              <w:fldChar w:fldCharType="begin"/>
            </w:r>
            <w:r>
              <w:rPr>
                <w:webHidden/>
              </w:rPr>
              <w:instrText xml:space="preserve">PAGEREF _Toc445113554 \h</w:instrText>
            </w:r>
            <w:r>
              <w:rPr>
                <w:webHidden/>
              </w:rPr>
              <w:fldChar w:fldCharType="separate"/>
            </w:r>
            <w:r>
              <w:rPr>
                <w:rStyle w:val="Verzeichnissprung"/>
                <w:vanish w:val="false"/>
              </w:rPr>
              <w:tab/>
              <w:t>7</w:t>
            </w:r>
            <w:r>
              <w:rPr>
                <w:webHidden/>
              </w:rPr>
              <w:fldChar w:fldCharType="end"/>
            </w:r>
          </w:hyperlink>
        </w:p>
        <w:p>
          <w:pPr>
            <w:pStyle w:val="Inhaltsverzeichnis1"/>
            <w:tabs>
              <w:tab w:val="clear" w:pos="708"/>
              <w:tab w:val="right" w:pos="9062" w:leader="dot"/>
            </w:tabs>
            <w:rPr/>
          </w:pPr>
          <w:hyperlink w:anchor="_Toc445113555">
            <w:r>
              <w:rPr>
                <w:webHidden/>
                <w:rStyle w:val="Verzeichnissprung"/>
              </w:rPr>
              <w:t>4.5 Änderungen</w:t>
            </w:r>
            <w:r>
              <w:rPr>
                <w:webHidden/>
              </w:rPr>
              <w:fldChar w:fldCharType="begin"/>
            </w:r>
            <w:r>
              <w:rPr>
                <w:webHidden/>
              </w:rPr>
              <w:instrText xml:space="preserve">PAGEREF _Toc445113555 \h</w:instrText>
            </w:r>
            <w:r>
              <w:rPr>
                <w:webHidden/>
              </w:rPr>
              <w:fldChar w:fldCharType="separate"/>
            </w:r>
            <w:r>
              <w:rPr>
                <w:rStyle w:val="Verzeichnissprung"/>
                <w:vanish w:val="false"/>
              </w:rPr>
              <w:tab/>
              <w:t>7</w:t>
            </w:r>
            <w:r>
              <w:rPr>
                <w:webHidden/>
              </w:rPr>
              <w:fldChar w:fldCharType="end"/>
            </w:r>
          </w:hyperlink>
        </w:p>
        <w:p>
          <w:pPr>
            <w:pStyle w:val="Inhaltsverzeichnis1"/>
            <w:tabs>
              <w:tab w:val="clear" w:pos="708"/>
              <w:tab w:val="right" w:pos="9062" w:leader="dot"/>
            </w:tabs>
            <w:rPr/>
          </w:pPr>
          <w:hyperlink w:anchor="_Toc445113556">
            <w:r>
              <w:rPr>
                <w:webHidden/>
                <w:rStyle w:val="Verzeichnissprung"/>
              </w:rPr>
              <w:t>4.6 Archivierung</w:t>
            </w:r>
            <w:r>
              <w:rPr>
                <w:webHidden/>
              </w:rPr>
              <w:fldChar w:fldCharType="begin"/>
            </w:r>
            <w:r>
              <w:rPr>
                <w:webHidden/>
              </w:rPr>
              <w:instrText xml:space="preserve">PAGEREF _Toc445113556 \h</w:instrText>
            </w:r>
            <w:r>
              <w:rPr>
                <w:webHidden/>
              </w:rPr>
              <w:fldChar w:fldCharType="separate"/>
            </w:r>
            <w:r>
              <w:rPr>
                <w:rStyle w:val="Verzeichnissprung"/>
                <w:vanish w:val="false"/>
              </w:rPr>
              <w:tab/>
              <w:t>7</w:t>
            </w:r>
            <w:r>
              <w:rPr>
                <w:webHidden/>
              </w:rPr>
              <w:fldChar w:fldCharType="end"/>
            </w:r>
          </w:hyperlink>
        </w:p>
        <w:p>
          <w:pPr>
            <w:pStyle w:val="Inhaltsverzeichnis1"/>
            <w:tabs>
              <w:tab w:val="clear" w:pos="708"/>
              <w:tab w:val="right" w:pos="9062" w:leader="dot"/>
            </w:tabs>
            <w:rPr/>
          </w:pPr>
          <w:hyperlink w:anchor="_Toc445113557">
            <w:r>
              <w:rPr>
                <w:webHidden/>
                <w:rStyle w:val="Verzeichnissprung"/>
              </w:rPr>
              <w:t>4.7 EDV Anwendung</w:t>
            </w:r>
            <w:r>
              <w:rPr>
                <w:webHidden/>
              </w:rPr>
              <w:fldChar w:fldCharType="begin"/>
            </w:r>
            <w:r>
              <w:rPr>
                <w:webHidden/>
              </w:rPr>
              <w:instrText xml:space="preserve">PAGEREF _Toc445113557 \h</w:instrText>
            </w:r>
            <w:r>
              <w:rPr>
                <w:webHidden/>
              </w:rPr>
              <w:fldChar w:fldCharType="separate"/>
            </w:r>
            <w:r>
              <w:rPr>
                <w:rStyle w:val="Verzeichnissprung"/>
                <w:vanish w:val="false"/>
              </w:rPr>
              <w:tab/>
              <w:t>7</w:t>
            </w:r>
            <w:r>
              <w:rPr>
                <w:webHidden/>
              </w:rPr>
              <w:fldChar w:fldCharType="end"/>
            </w:r>
          </w:hyperlink>
        </w:p>
        <w:p>
          <w:pPr>
            <w:pStyle w:val="Inhaltsverzeichnis2"/>
            <w:tabs>
              <w:tab w:val="clear" w:pos="708"/>
              <w:tab w:val="right" w:pos="9062" w:leader="dot"/>
            </w:tabs>
            <w:rPr/>
          </w:pPr>
          <w:hyperlink w:anchor="_Toc445113558">
            <w:r>
              <w:rPr>
                <w:webHidden/>
                <w:rStyle w:val="Verzeichnissprung"/>
              </w:rPr>
              <w:t>4.7.1 Datensicherung</w:t>
            </w:r>
            <w:r>
              <w:rPr>
                <w:webHidden/>
              </w:rPr>
              <w:fldChar w:fldCharType="begin"/>
            </w:r>
            <w:r>
              <w:rPr>
                <w:webHidden/>
              </w:rPr>
              <w:instrText xml:space="preserve">PAGEREF _Toc445113558 \h</w:instrText>
            </w:r>
            <w:r>
              <w:rPr>
                <w:webHidden/>
              </w:rPr>
              <w:fldChar w:fldCharType="separate"/>
            </w:r>
            <w:r>
              <w:rPr>
                <w:rStyle w:val="Verzeichnissprung"/>
                <w:vanish w:val="false"/>
              </w:rPr>
              <w:tab/>
              <w:t>7</w:t>
            </w:r>
            <w:r>
              <w:rPr>
                <w:webHidden/>
              </w:rPr>
              <w:fldChar w:fldCharType="end"/>
            </w:r>
          </w:hyperlink>
        </w:p>
        <w:p>
          <w:pPr>
            <w:pStyle w:val="Inhaltsverzeichnis2"/>
            <w:tabs>
              <w:tab w:val="clear" w:pos="708"/>
              <w:tab w:val="right" w:pos="9062" w:leader="dot"/>
            </w:tabs>
            <w:rPr/>
          </w:pPr>
          <w:hyperlink w:anchor="_Toc445113559">
            <w:r>
              <w:rPr>
                <w:webHidden/>
                <w:rStyle w:val="Verzeichnissprung"/>
              </w:rPr>
              <w:t>4.7.2 Gruppenlaufwerke</w:t>
            </w:r>
            <w:r>
              <w:rPr>
                <w:webHidden/>
              </w:rPr>
              <w:fldChar w:fldCharType="begin"/>
            </w:r>
            <w:r>
              <w:rPr>
                <w:webHidden/>
              </w:rPr>
              <w:instrText xml:space="preserve">PAGEREF _Toc445113559 \h</w:instrText>
            </w:r>
            <w:r>
              <w:rPr>
                <w:webHidden/>
              </w:rPr>
              <w:fldChar w:fldCharType="separate"/>
            </w:r>
            <w:r>
              <w:rPr>
                <w:rStyle w:val="Verzeichnissprung"/>
                <w:vanish w:val="false"/>
              </w:rPr>
              <w:tab/>
              <w:t>8</w:t>
            </w:r>
            <w:r>
              <w:rPr>
                <w:webHidden/>
              </w:rPr>
              <w:fldChar w:fldCharType="end"/>
            </w:r>
          </w:hyperlink>
        </w:p>
        <w:p>
          <w:pPr>
            <w:pStyle w:val="Inhaltsverzeichnis1"/>
            <w:tabs>
              <w:tab w:val="clear" w:pos="708"/>
              <w:tab w:val="right" w:pos="9062" w:leader="dot"/>
            </w:tabs>
            <w:rPr/>
          </w:pPr>
          <w:hyperlink w:anchor="_Toc445113560">
            <w:r>
              <w:rPr>
                <w:webHidden/>
                <w:rStyle w:val="Verzeichnissprung"/>
              </w:rPr>
              <w:t>5. Mitgeltende Dokumente</w:t>
            </w:r>
            <w:r>
              <w:rPr>
                <w:webHidden/>
              </w:rPr>
              <w:fldChar w:fldCharType="begin"/>
            </w:r>
            <w:r>
              <w:rPr>
                <w:webHidden/>
              </w:rPr>
              <w:instrText xml:space="preserve">PAGEREF _Toc445113560 \h</w:instrText>
            </w:r>
            <w:r>
              <w:rPr>
                <w:webHidden/>
              </w:rPr>
              <w:fldChar w:fldCharType="separate"/>
            </w:r>
            <w:r>
              <w:rPr>
                <w:rStyle w:val="Verzeichnissprung"/>
                <w:vanish w:val="false"/>
              </w:rPr>
              <w:tab/>
              <w:t>8</w:t>
            </w:r>
            <w:r>
              <w:rPr>
                <w:webHidden/>
              </w:rPr>
              <w:fldChar w:fldCharType="end"/>
            </w:r>
          </w:hyperlink>
        </w:p>
        <w:p>
          <w:pPr>
            <w:pStyle w:val="Inhaltsverzeichnis1"/>
            <w:tabs>
              <w:tab w:val="clear" w:pos="708"/>
              <w:tab w:val="right" w:pos="9062" w:leader="dot"/>
            </w:tabs>
            <w:rPr/>
          </w:pPr>
          <w:hyperlink w:anchor="_Toc445113561">
            <w:r>
              <w:rPr>
                <w:webHidden/>
                <w:rStyle w:val="Verzeichnissprung"/>
                <w:rFonts w:eastAsia="Times New Roman"/>
                <w:lang w:eastAsia="ar-SA"/>
              </w:rPr>
              <w:t>6. Gültigkeit</w:t>
            </w:r>
            <w:r>
              <w:rPr>
                <w:webHidden/>
              </w:rPr>
              <w:fldChar w:fldCharType="begin"/>
            </w:r>
            <w:r>
              <w:rPr>
                <w:webHidden/>
              </w:rPr>
              <w:instrText xml:space="preserve">PAGEREF _Toc445113561 \h</w:instrText>
            </w:r>
            <w:r>
              <w:rPr>
                <w:webHidden/>
              </w:rPr>
              <w:fldChar w:fldCharType="separate"/>
            </w:r>
            <w:r>
              <w:rPr>
                <w:rStyle w:val="Verzeichnissprung"/>
                <w:vanish w:val="false"/>
              </w:rPr>
              <w:tab/>
              <w:t>8</w:t>
            </w:r>
            <w:r>
              <w:rPr>
                <w:webHidden/>
              </w:rPr>
              <w:fldChar w:fldCharType="end"/>
            </w:r>
          </w:hyperlink>
        </w:p>
        <w:p>
          <w:pPr>
            <w:pStyle w:val="Inhaltsverzeichnis1"/>
            <w:tabs>
              <w:tab w:val="clear" w:pos="708"/>
              <w:tab w:val="right" w:pos="9062" w:leader="dot"/>
            </w:tabs>
            <w:rPr/>
          </w:pPr>
          <w:hyperlink w:anchor="_Toc445113562">
            <w:r>
              <w:rPr>
                <w:webHidden/>
                <w:rStyle w:val="Verzeichnissprung"/>
              </w:rPr>
              <w:t>7. Anlagen</w:t>
            </w:r>
            <w:r>
              <w:rPr>
                <w:webHidden/>
              </w:rPr>
              <w:fldChar w:fldCharType="begin"/>
            </w:r>
            <w:r>
              <w:rPr>
                <w:webHidden/>
              </w:rPr>
              <w:instrText xml:space="preserve">PAGEREF _Toc445113562 \h</w:instrText>
            </w:r>
            <w:r>
              <w:rPr>
                <w:webHidden/>
              </w:rPr>
              <w:fldChar w:fldCharType="separate"/>
            </w:r>
            <w:r>
              <w:rPr>
                <w:rStyle w:val="Verzeichnissprung"/>
                <w:vanish w:val="false"/>
              </w:rPr>
              <w:tab/>
              <w:t>8</w:t>
            </w:r>
            <w:r>
              <w:rPr>
                <w:webHidden/>
              </w:rPr>
              <w:fldChar w:fldCharType="end"/>
            </w:r>
          </w:hyperlink>
        </w:p>
        <w:p>
          <w:pPr>
            <w:pStyle w:val="Normal"/>
            <w:rPr/>
          </w:pPr>
          <w:r>
            <w:rPr/>
          </w:r>
          <w:r>
            <w:rPr/>
            <w:fldChar w:fldCharType="end"/>
          </w:r>
        </w:p>
      </w:sdtContent>
    </w:sdt>
    <w:tbl>
      <w:tblPr>
        <w:tblStyle w:val="Tabellenraster"/>
        <w:tblW w:w="921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070"/>
        <w:gridCol w:w="3070"/>
        <w:gridCol w:w="3071"/>
      </w:tblGrid>
      <w:tr>
        <w:trPr>
          <w:trHeight w:val="462" w:hRule="atLeast"/>
          <w:cantSplit w:val="true"/>
        </w:trPr>
        <w:tc>
          <w:tcPr>
            <w:tcW w:w="3070" w:type="dxa"/>
            <w:tcBorders>
              <w:right w:val="nil"/>
            </w:tcBorders>
            <w:vAlign w:val="center"/>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t>ERSTELLT</w:t>
            </w:r>
          </w:p>
        </w:tc>
        <w:tc>
          <w:tcPr>
            <w:tcW w:w="3070" w:type="dxa"/>
            <w:tcBorders/>
            <w:vAlign w:val="center"/>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t>GEPRÜFT</w:t>
            </w:r>
          </w:p>
        </w:tc>
        <w:tc>
          <w:tcPr>
            <w:tcW w:w="3071" w:type="dxa"/>
            <w:tcBorders/>
            <w:vAlign w:val="center"/>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t>FREIGEGEBEN</w:t>
            </w:r>
          </w:p>
        </w:tc>
      </w:tr>
      <w:tr>
        <w:trPr>
          <w:trHeight w:val="746" w:hRule="atLeast"/>
          <w:cantSplit w:val="true"/>
        </w:trPr>
        <w:tc>
          <w:tcPr>
            <w:tcW w:w="3070" w:type="dxa"/>
            <w:tcBorders>
              <w:right w:val="nil"/>
            </w:tcBorders>
          </w:tcPr>
          <w:p>
            <w:pPr>
              <w:pStyle w:val="Normal"/>
              <w:widowControl/>
              <w:spacing w:lineRule="auto" w:line="276" w:before="120" w:after="0"/>
              <w:rPr>
                <w:rFonts w:ascii="Myriad Pro" w:hAnsi="Myriad Pro"/>
              </w:rPr>
            </w:pPr>
            <w:r>
              <w:rPr>
                <w:rFonts w:eastAsia="" w:cs=""/>
                <w:kern w:val="0"/>
                <w:sz w:val="22"/>
                <w:szCs w:val="22"/>
                <w:lang w:val="de-DE" w:eastAsia="de-DE" w:bidi="ar-SA"/>
              </w:rPr>
              <w:t xml:space="preserve">Am: </w:t>
            </w:r>
            <w:r>
              <w:rPr>
                <w:rFonts w:eastAsia="" w:cs=""/>
                <w:kern w:val="0"/>
                <w:sz w:val="22"/>
                <w:szCs w:val="22"/>
                <w:lang w:val="de-DE" w:eastAsia="de-DE" w:bidi="ar-SA"/>
              </w:rPr>
              <w:t>15.04.2022</w:t>
            </w:r>
          </w:p>
          <w:p>
            <w:pPr>
              <w:pStyle w:val="Normal"/>
              <w:widowControl/>
              <w:spacing w:lineRule="auto" w:line="276" w:before="0" w:after="0"/>
              <w:rPr>
                <w:rFonts w:ascii="Myriad Pro" w:hAnsi="Myriad Pro"/>
              </w:rPr>
            </w:pPr>
            <w:r>
              <w:rPr>
                <w:rFonts w:eastAsia="" w:cs=""/>
                <w:kern w:val="0"/>
                <w:sz w:val="22"/>
                <w:szCs w:val="22"/>
                <w:lang w:val="de-DE" w:eastAsia="de-DE" w:bidi="ar-SA"/>
              </w:rPr>
              <w:t xml:space="preserve">Von: </w:t>
            </w:r>
            <w:r>
              <w:rPr>
                <w:rFonts w:eastAsia="" w:cs=""/>
                <w:kern w:val="0"/>
                <w:sz w:val="22"/>
                <w:szCs w:val="22"/>
                <w:lang w:val="de-DE" w:eastAsia="de-DE" w:bidi="ar-SA"/>
              </w:rPr>
              <w:t>Norman Walter</w:t>
            </w:r>
          </w:p>
        </w:tc>
        <w:tc>
          <w:tcPr>
            <w:tcW w:w="3070" w:type="dxa"/>
            <w:tcBorders/>
          </w:tcPr>
          <w:p>
            <w:pPr>
              <w:pStyle w:val="Normal"/>
              <w:widowControl/>
              <w:spacing w:lineRule="auto" w:line="276" w:before="120" w:after="0"/>
              <w:rPr>
                <w:rFonts w:ascii="Myriad Pro" w:hAnsi="Myriad Pro"/>
              </w:rPr>
            </w:pPr>
            <w:r>
              <w:rPr>
                <w:rFonts w:eastAsia="" w:cs=""/>
                <w:kern w:val="0"/>
                <w:sz w:val="22"/>
                <w:szCs w:val="22"/>
                <w:lang w:val="de-DE" w:eastAsia="de-DE" w:bidi="ar-SA"/>
              </w:rPr>
              <w:t xml:space="preserve">Am: </w:t>
            </w:r>
            <w:r>
              <w:rPr>
                <w:rFonts w:eastAsia="" w:cs=""/>
                <w:kern w:val="0"/>
                <w:sz w:val="22"/>
                <w:szCs w:val="22"/>
                <w:lang w:val="de-DE" w:eastAsia="de-DE" w:bidi="ar-SA"/>
              </w:rPr>
              <w:t>15.04.2022</w:t>
            </w:r>
          </w:p>
          <w:p>
            <w:pPr>
              <w:pStyle w:val="Normal"/>
              <w:widowControl/>
              <w:spacing w:lineRule="auto" w:line="276" w:before="0" w:after="0"/>
              <w:rPr>
                <w:rFonts w:ascii="Myriad Pro" w:hAnsi="Myriad Pro"/>
              </w:rPr>
            </w:pPr>
            <w:r>
              <w:rPr>
                <w:rFonts w:eastAsia="" w:cs=""/>
                <w:kern w:val="0"/>
                <w:sz w:val="22"/>
                <w:szCs w:val="22"/>
                <w:lang w:val="de-DE" w:eastAsia="de-DE" w:bidi="ar-SA"/>
              </w:rPr>
              <w:t xml:space="preserve">Von: </w:t>
            </w:r>
            <w:r>
              <w:rPr>
                <w:rFonts w:eastAsia="" w:cs=""/>
                <w:kern w:val="0"/>
                <w:sz w:val="22"/>
                <w:szCs w:val="22"/>
                <w:lang w:val="de-DE" w:eastAsia="de-DE" w:bidi="ar-SA"/>
              </w:rPr>
              <w:t>Markus Behnke</w:t>
            </w:r>
          </w:p>
        </w:tc>
        <w:tc>
          <w:tcPr>
            <w:tcW w:w="3071" w:type="dxa"/>
            <w:tcBorders/>
          </w:tcPr>
          <w:p>
            <w:pPr>
              <w:pStyle w:val="Normal"/>
              <w:widowControl/>
              <w:spacing w:lineRule="auto" w:line="276" w:before="120" w:after="0"/>
              <w:rPr>
                <w:rFonts w:ascii="Myriad Pro" w:hAnsi="Myriad Pro"/>
              </w:rPr>
            </w:pPr>
            <w:r>
              <w:rPr>
                <w:rFonts w:eastAsia="" w:cs=""/>
                <w:kern w:val="0"/>
                <w:sz w:val="22"/>
                <w:szCs w:val="22"/>
                <w:lang w:val="de-DE" w:eastAsia="de-DE" w:bidi="ar-SA"/>
              </w:rPr>
              <w:t xml:space="preserve">Am: </w:t>
            </w:r>
            <w:r>
              <w:rPr>
                <w:rFonts w:eastAsia="" w:cs=""/>
                <w:kern w:val="0"/>
                <w:sz w:val="22"/>
                <w:szCs w:val="22"/>
                <w:lang w:val="de-DE" w:eastAsia="de-DE" w:bidi="ar-SA"/>
              </w:rPr>
              <w:t>18.04.2022</w:t>
            </w:r>
          </w:p>
          <w:p>
            <w:pPr>
              <w:pStyle w:val="Normal"/>
              <w:widowControl/>
              <w:spacing w:lineRule="auto" w:line="276" w:before="0" w:after="0"/>
              <w:rPr>
                <w:rFonts w:ascii="Myriad Pro" w:hAnsi="Myriad Pro"/>
              </w:rPr>
            </w:pPr>
            <w:r>
              <w:rPr>
                <w:rFonts w:eastAsia="" w:cs=""/>
                <w:kern w:val="0"/>
                <w:sz w:val="22"/>
                <w:szCs w:val="22"/>
                <w:lang w:val="de-DE" w:eastAsia="de-DE" w:bidi="ar-SA"/>
              </w:rPr>
              <w:t>Von: Bernd Weinreich</w:t>
            </w:r>
          </w:p>
        </w:tc>
      </w:tr>
    </w:tbl>
    <w:p>
      <w:pPr>
        <w:pStyle w:val="Normal"/>
        <w:rPr>
          <w:rFonts w:ascii="Myriad Pro" w:hAnsi="Myriad Pro" w:eastAsia="" w:cs="" w:asciiTheme="majorHAnsi" w:cstheme="majorBidi" w:eastAsiaTheme="majorEastAsia" w:hAnsiTheme="majorHAnsi"/>
          <w:b/>
          <w:b/>
          <w:bCs/>
          <w:color w:val="1F497D" w:themeColor="text2"/>
          <w:sz w:val="28"/>
          <w:szCs w:val="28"/>
        </w:rPr>
      </w:pPr>
      <w:r>
        <w:rPr>
          <w:rFonts w:eastAsia="" w:cs="" w:cstheme="majorBidi" w:eastAsiaTheme="majorEastAsia"/>
          <w:b/>
          <w:bCs/>
          <w:color w:val="1F497D" w:themeColor="text2"/>
          <w:sz w:val="28"/>
          <w:szCs w:val="28"/>
        </w:rPr>
      </w:r>
      <w:r>
        <w:br w:type="page"/>
      </w:r>
    </w:p>
    <w:p>
      <w:pPr>
        <w:pStyle w:val="Berschrift1"/>
        <w:rPr/>
      </w:pPr>
      <w:bookmarkStart w:id="0" w:name="_Toc445113539"/>
      <w:bookmarkStart w:id="1" w:name="_Toc331491488"/>
      <w:r>
        <w:rPr/>
        <w:t>1. Zweck</w:t>
      </w:r>
      <w:bookmarkEnd w:id="0"/>
      <w:bookmarkEnd w:id="1"/>
    </w:p>
    <w:p>
      <w:pPr>
        <w:pStyle w:val="Normal"/>
        <w:rPr/>
      </w:pPr>
      <w:r>
        <w:rPr/>
        <w:t>Diese Verfahrensanweisung regelt:</w:t>
      </w:r>
    </w:p>
    <w:p>
      <w:pPr>
        <w:pStyle w:val="ListParagraph"/>
        <w:numPr>
          <w:ilvl w:val="0"/>
          <w:numId w:val="1"/>
        </w:numPr>
        <w:suppressAutoHyphens w:val="false"/>
        <w:spacing w:before="0" w:after="200"/>
        <w:contextualSpacing/>
        <w:rPr/>
      </w:pPr>
      <w:r>
        <w:rPr/>
        <w:t>die Verantwortlichkeiten,</w:t>
      </w:r>
    </w:p>
    <w:p>
      <w:pPr>
        <w:pStyle w:val="ListParagraph"/>
        <w:numPr>
          <w:ilvl w:val="0"/>
          <w:numId w:val="1"/>
        </w:numPr>
        <w:suppressAutoHyphens w:val="false"/>
        <w:spacing w:before="0" w:after="200"/>
        <w:contextualSpacing/>
        <w:rPr/>
      </w:pPr>
      <w:r>
        <w:rPr/>
        <w:t>die Handhabung,</w:t>
      </w:r>
    </w:p>
    <w:p>
      <w:pPr>
        <w:pStyle w:val="ListParagraph"/>
        <w:numPr>
          <w:ilvl w:val="0"/>
          <w:numId w:val="1"/>
        </w:numPr>
        <w:suppressAutoHyphens w:val="false"/>
        <w:spacing w:before="0" w:after="200"/>
        <w:contextualSpacing/>
        <w:rPr/>
      </w:pPr>
      <w:r>
        <w:rPr/>
        <w:t>das Revisionsverfahren</w:t>
      </w:r>
    </w:p>
    <w:p>
      <w:pPr>
        <w:pStyle w:val="Normal"/>
        <w:rPr/>
      </w:pPr>
      <w:r>
        <w:rPr/>
        <w:t>von</w:t>
      </w:r>
    </w:p>
    <w:p>
      <w:pPr>
        <w:pStyle w:val="ListParagraph"/>
        <w:numPr>
          <w:ilvl w:val="0"/>
          <w:numId w:val="2"/>
        </w:numPr>
        <w:suppressAutoHyphens w:val="false"/>
        <w:spacing w:before="0" w:after="200"/>
        <w:contextualSpacing/>
        <w:rPr/>
      </w:pPr>
      <w:r>
        <w:rPr/>
        <w:t>dokumentierten Informationen</w:t>
      </w:r>
    </w:p>
    <w:p>
      <w:pPr>
        <w:pStyle w:val="Normal"/>
        <w:rPr/>
      </w:pPr>
      <w:r>
        <w:rPr/>
        <w:t xml:space="preserve">Der Zweck der VA ist die Festlegung eines Systems für die Erstellung, Prüfung, Freigabe, Verteilung, Revision und Aufbewahrung von dokumentierten Informationen. </w:t>
      </w:r>
    </w:p>
    <w:p>
      <w:pPr>
        <w:pStyle w:val="Berschrift1"/>
        <w:rPr/>
      </w:pPr>
      <w:bookmarkStart w:id="2" w:name="_Toc445113540"/>
      <w:bookmarkStart w:id="3" w:name="_Toc331491489"/>
      <w:r>
        <w:rPr/>
        <w:t>2. Geltungsbereich</w:t>
      </w:r>
      <w:bookmarkEnd w:id="2"/>
      <w:bookmarkEnd w:id="3"/>
    </w:p>
    <w:p>
      <w:pPr>
        <w:pStyle w:val="Normal"/>
        <w:rPr/>
      </w:pPr>
      <w:r>
        <w:rPr/>
        <w:t xml:space="preserve">Die Vorgaben dieser VA sind verbindlich für alle Mitarbeiter der </w:t>
      </w:r>
      <w:r>
        <w:rPr>
          <w:i/>
        </w:rPr>
        <w:t xml:space="preserve">waggon24 </w:t>
      </w:r>
      <w:r>
        <w:rPr/>
        <w:t>GmbH.</w:t>
      </w:r>
    </w:p>
    <w:p>
      <w:pPr>
        <w:pStyle w:val="Berschrift1"/>
        <w:rPr/>
      </w:pPr>
      <w:bookmarkStart w:id="4" w:name="_Toc286659962"/>
      <w:bookmarkStart w:id="5" w:name="_Toc445113541"/>
      <w:bookmarkStart w:id="6" w:name="_Toc331491490"/>
      <w:r>
        <w:rPr/>
        <w:t>3. Zuständigkeiten</w:t>
      </w:r>
      <w:bookmarkEnd w:id="5"/>
      <w:bookmarkEnd w:id="6"/>
    </w:p>
    <w:p>
      <w:pPr>
        <w:pStyle w:val="Berschrift2"/>
        <w:rPr/>
      </w:pPr>
      <w:bookmarkStart w:id="7" w:name="_Toc286659962"/>
      <w:bookmarkStart w:id="8" w:name="_Toc445113542"/>
      <w:bookmarkStart w:id="9" w:name="_Toc331491491"/>
      <w:r>
        <w:rPr/>
        <w:t>Verantwortungsmatrix</w:t>
      </w:r>
      <w:bookmarkEnd w:id="7"/>
      <w:bookmarkEnd w:id="8"/>
      <w:bookmarkEnd w:id="9"/>
    </w:p>
    <w:tbl>
      <w:tblPr>
        <w:tblW w:w="8789" w:type="dxa"/>
        <w:jc w:val="left"/>
        <w:tblInd w:w="71" w:type="dxa"/>
        <w:tblLayout w:type="fixed"/>
        <w:tblCellMar>
          <w:top w:w="0" w:type="dxa"/>
          <w:left w:w="71" w:type="dxa"/>
          <w:bottom w:w="0" w:type="dxa"/>
          <w:right w:w="71" w:type="dxa"/>
        </w:tblCellMar>
        <w:tblLook w:val="0000" w:noHBand="0" w:noVBand="0" w:firstColumn="0" w:lastRow="0" w:lastColumn="0" w:firstRow="0"/>
      </w:tblPr>
      <w:tblGrid>
        <w:gridCol w:w="4640"/>
        <w:gridCol w:w="1037"/>
        <w:gridCol w:w="1037"/>
        <w:gridCol w:w="1037"/>
        <w:gridCol w:w="1038"/>
      </w:tblGrid>
      <w:tr>
        <w:trPr>
          <w:trHeight w:val="340" w:hRule="exact"/>
          <w:cantSplit w:val="true"/>
        </w:trPr>
        <w:tc>
          <w:tcPr>
            <w:tcW w:w="4640" w:type="dxa"/>
            <w:vMerge w:val="restart"/>
            <w:tcBorders>
              <w:top w:val="double" w:sz="2" w:space="0" w:color="000000"/>
              <w:left w:val="double" w:sz="2" w:space="0" w:color="000000"/>
              <w:bottom w:val="single" w:sz="4" w:space="0" w:color="000000"/>
            </w:tcBorders>
            <w:shd w:color="auto" w:fill="auto" w:val="clear"/>
            <w:vAlign w:val="center"/>
          </w:tcPr>
          <w:p>
            <w:pPr>
              <w:pStyle w:val="Normal"/>
              <w:widowControl w:val="false"/>
              <w:snapToGrid w:val="false"/>
              <w:spacing w:before="0" w:after="0"/>
              <w:jc w:val="left"/>
              <w:rPr>
                <w:rFonts w:ascii="Times New Roman" w:hAnsi="Times New Roman"/>
                <w:b/>
                <w:b/>
                <w:sz w:val="24"/>
              </w:rPr>
            </w:pPr>
            <w:r>
              <w:rPr>
                <w:b/>
              </w:rPr>
              <w:t>Aufgaben / Verfahren</w:t>
            </w:r>
          </w:p>
        </w:tc>
        <w:tc>
          <w:tcPr>
            <w:tcW w:w="4149" w:type="dxa"/>
            <w:gridSpan w:val="4"/>
            <w:tcBorders>
              <w:top w:val="double" w:sz="2" w:space="0" w:color="000000"/>
              <w:left w:val="single" w:sz="4" w:space="0" w:color="000000"/>
              <w:bottom w:val="single" w:sz="4" w:space="0" w:color="000000"/>
              <w:right w:val="double" w:sz="2" w:space="0" w:color="000000"/>
            </w:tcBorders>
            <w:shd w:color="auto" w:fill="auto" w:val="clear"/>
          </w:tcPr>
          <w:p>
            <w:pPr>
              <w:pStyle w:val="Normal"/>
              <w:widowControl w:val="false"/>
              <w:snapToGrid w:val="false"/>
              <w:spacing w:before="0" w:after="0"/>
              <w:jc w:val="center"/>
              <w:rPr>
                <w:b/>
                <w:b/>
              </w:rPr>
            </w:pPr>
            <w:r>
              <w:rPr>
                <w:b/>
              </w:rPr>
              <w:t>Verantwortung</w:t>
            </w:r>
          </w:p>
        </w:tc>
      </w:tr>
      <w:tr>
        <w:trPr>
          <w:trHeight w:val="340" w:hRule="exact"/>
          <w:cantSplit w:val="true"/>
        </w:trPr>
        <w:tc>
          <w:tcPr>
            <w:tcW w:w="4640" w:type="dxa"/>
            <w:vMerge w:val="continue"/>
            <w:tcBorders>
              <w:left w:val="double" w:sz="2" w:space="0" w:color="000000"/>
              <w:bottom w:val="single" w:sz="4" w:space="0" w:color="000000"/>
            </w:tcBorders>
            <w:shd w:color="auto" w:fill="auto" w:val="clear"/>
          </w:tcPr>
          <w:p>
            <w:pPr>
              <w:pStyle w:val="Normal"/>
              <w:widowControl w:val="false"/>
              <w:snapToGrid w:val="false"/>
              <w:spacing w:before="0" w:after="0"/>
              <w:rPr>
                <w:b/>
                <w:b/>
              </w:rPr>
            </w:pPr>
            <w:r>
              <w:rPr>
                <w:b/>
              </w:rPr>
            </w:r>
          </w:p>
        </w:tc>
        <w:tc>
          <w:tcPr>
            <w:tcW w:w="1037"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t>GF</w:t>
            </w:r>
          </w:p>
        </w:tc>
        <w:tc>
          <w:tcPr>
            <w:tcW w:w="1037"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t>QMB</w:t>
            </w:r>
          </w:p>
        </w:tc>
        <w:tc>
          <w:tcPr>
            <w:tcW w:w="1037"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highlight w:val="yellow"/>
              </w:rPr>
              <w:t>LIH</w:t>
            </w:r>
          </w:p>
        </w:tc>
        <w:tc>
          <w:tcPr>
            <w:tcW w:w="1038" w:type="dxa"/>
            <w:tcBorders>
              <w:top w:val="single" w:sz="4" w:space="0" w:color="000000"/>
              <w:left w:val="single" w:sz="4" w:space="0" w:color="000000"/>
              <w:bottom w:val="single" w:sz="4" w:space="0" w:color="000000"/>
              <w:right w:val="double" w:sz="2" w:space="0" w:color="000000"/>
            </w:tcBorders>
            <w:shd w:color="auto" w:fill="auto" w:val="clear"/>
            <w:vAlign w:val="center"/>
          </w:tcPr>
          <w:p>
            <w:pPr>
              <w:pStyle w:val="Normal"/>
              <w:widowControl w:val="false"/>
              <w:snapToGrid w:val="false"/>
              <w:spacing w:before="0" w:after="0"/>
              <w:jc w:val="center"/>
              <w:rPr/>
            </w:pPr>
            <w:r>
              <w:rPr/>
              <w:t>MA</w:t>
            </w:r>
          </w:p>
        </w:tc>
      </w:tr>
      <w:tr>
        <w:trPr>
          <w:trHeight w:val="340" w:hRule="atLeast"/>
          <w:cantSplit w:val="true"/>
        </w:trPr>
        <w:tc>
          <w:tcPr>
            <w:tcW w:w="4640" w:type="dxa"/>
            <w:tcBorders>
              <w:left w:val="double" w:sz="2" w:space="0" w:color="000000"/>
              <w:bottom w:val="single" w:sz="4" w:space="0" w:color="000000"/>
            </w:tcBorders>
            <w:shd w:color="auto" w:fill="auto" w:val="clear"/>
            <w:vAlign w:val="center"/>
          </w:tcPr>
          <w:p>
            <w:pPr>
              <w:pStyle w:val="Normal"/>
              <w:widowControl w:val="false"/>
              <w:snapToGrid w:val="false"/>
              <w:spacing w:before="0" w:after="0"/>
              <w:jc w:val="left"/>
              <w:rPr/>
            </w:pPr>
            <w:r>
              <w:rPr/>
              <w:t>Festlegungen der Informationslenkung</w:t>
            </w:r>
          </w:p>
        </w:tc>
        <w:tc>
          <w:tcPr>
            <w:tcW w:w="1037"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lang w:val="it-IT"/>
              </w:rPr>
            </w:pPr>
            <w:r>
              <w:rPr>
                <w:lang w:val="it-IT"/>
              </w:rPr>
              <w:t>D</w:t>
            </w:r>
          </w:p>
        </w:tc>
        <w:tc>
          <w:tcPr>
            <w:tcW w:w="1037"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lang w:val="it-IT"/>
              </w:rPr>
            </w:pPr>
            <w:r>
              <w:rPr>
                <w:lang w:val="it-IT"/>
              </w:rPr>
              <w:t>M</w:t>
            </w:r>
          </w:p>
        </w:tc>
        <w:tc>
          <w:tcPr>
            <w:tcW w:w="1037"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lang w:val="it-IT"/>
              </w:rPr>
            </w:pPr>
            <w:r>
              <w:rPr>
                <w:lang w:val="it-IT"/>
              </w:rPr>
              <w:t>I</w:t>
            </w:r>
          </w:p>
        </w:tc>
        <w:tc>
          <w:tcPr>
            <w:tcW w:w="1038" w:type="dxa"/>
            <w:tcBorders>
              <w:top w:val="single" w:sz="4" w:space="0" w:color="000000"/>
              <w:left w:val="single" w:sz="4" w:space="0" w:color="000000"/>
              <w:bottom w:val="single" w:sz="4" w:space="0" w:color="000000"/>
              <w:right w:val="double" w:sz="2" w:space="0" w:color="000000"/>
            </w:tcBorders>
            <w:shd w:color="auto" w:fill="auto" w:val="clear"/>
            <w:vAlign w:val="center"/>
          </w:tcPr>
          <w:p>
            <w:pPr>
              <w:pStyle w:val="Normal"/>
              <w:widowControl w:val="false"/>
              <w:snapToGrid w:val="false"/>
              <w:spacing w:before="0" w:after="0"/>
              <w:jc w:val="center"/>
              <w:rPr>
                <w:lang w:val="it-IT"/>
              </w:rPr>
            </w:pPr>
            <w:r>
              <w:rPr>
                <w:lang w:val="it-IT"/>
              </w:rPr>
              <w:t>I</w:t>
            </w:r>
          </w:p>
        </w:tc>
      </w:tr>
      <w:tr>
        <w:trPr>
          <w:trHeight w:val="340" w:hRule="atLeast"/>
          <w:cantSplit w:val="true"/>
        </w:trPr>
        <w:tc>
          <w:tcPr>
            <w:tcW w:w="4640" w:type="dxa"/>
            <w:tcBorders>
              <w:top w:val="single" w:sz="4" w:space="0" w:color="000000"/>
              <w:left w:val="double" w:sz="2" w:space="0" w:color="000000"/>
              <w:bottom w:val="single" w:sz="4" w:space="0" w:color="000000"/>
            </w:tcBorders>
            <w:shd w:color="auto" w:fill="auto" w:val="clear"/>
            <w:vAlign w:val="center"/>
          </w:tcPr>
          <w:p>
            <w:pPr>
              <w:pStyle w:val="Normal"/>
              <w:widowControl w:val="false"/>
              <w:snapToGrid w:val="false"/>
              <w:spacing w:before="0" w:after="0"/>
              <w:jc w:val="left"/>
              <w:rPr/>
            </w:pPr>
            <w:r>
              <w:rPr/>
              <w:t>Einführung, Aufrechterhaltung, Kontrolle</w:t>
            </w:r>
          </w:p>
        </w:tc>
        <w:tc>
          <w:tcPr>
            <w:tcW w:w="1037"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t>I</w:t>
            </w:r>
          </w:p>
        </w:tc>
        <w:tc>
          <w:tcPr>
            <w:tcW w:w="1037"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t>M</w:t>
            </w:r>
          </w:p>
        </w:tc>
        <w:tc>
          <w:tcPr>
            <w:tcW w:w="1037"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t>D</w:t>
            </w:r>
          </w:p>
        </w:tc>
        <w:tc>
          <w:tcPr>
            <w:tcW w:w="1038" w:type="dxa"/>
            <w:tcBorders>
              <w:top w:val="single" w:sz="4" w:space="0" w:color="000000"/>
              <w:left w:val="single" w:sz="4" w:space="0" w:color="000000"/>
              <w:bottom w:val="single" w:sz="4" w:space="0" w:color="000000"/>
              <w:right w:val="double" w:sz="2" w:space="0" w:color="000000"/>
            </w:tcBorders>
            <w:shd w:color="auto" w:fill="auto" w:val="clear"/>
            <w:vAlign w:val="center"/>
          </w:tcPr>
          <w:p>
            <w:pPr>
              <w:pStyle w:val="Normal"/>
              <w:widowControl w:val="false"/>
              <w:snapToGrid w:val="false"/>
              <w:spacing w:before="0" w:after="0"/>
              <w:jc w:val="center"/>
              <w:rPr/>
            </w:pPr>
            <w:r>
              <w:rPr/>
              <w:t>I</w:t>
            </w:r>
          </w:p>
        </w:tc>
      </w:tr>
      <w:tr>
        <w:trPr>
          <w:trHeight w:val="340" w:hRule="atLeast"/>
          <w:cantSplit w:val="true"/>
        </w:trPr>
        <w:tc>
          <w:tcPr>
            <w:tcW w:w="4640" w:type="dxa"/>
            <w:tcBorders>
              <w:top w:val="single" w:sz="4" w:space="0" w:color="000000"/>
              <w:left w:val="double" w:sz="2" w:space="0" w:color="000000"/>
              <w:bottom w:val="single" w:sz="4" w:space="0" w:color="000000"/>
            </w:tcBorders>
            <w:shd w:color="auto" w:fill="auto" w:val="clear"/>
            <w:vAlign w:val="center"/>
          </w:tcPr>
          <w:p>
            <w:pPr>
              <w:pStyle w:val="Normal"/>
              <w:widowControl w:val="false"/>
              <w:snapToGrid w:val="false"/>
              <w:spacing w:before="0" w:after="0"/>
              <w:jc w:val="left"/>
              <w:rPr/>
            </w:pPr>
            <w:r>
              <w:rPr/>
              <w:t>Änderungen, Verbesserung</w:t>
            </w:r>
          </w:p>
        </w:tc>
        <w:tc>
          <w:tcPr>
            <w:tcW w:w="1037"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t>M</w:t>
            </w:r>
          </w:p>
        </w:tc>
        <w:tc>
          <w:tcPr>
            <w:tcW w:w="1037"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t>D</w:t>
            </w:r>
          </w:p>
        </w:tc>
        <w:tc>
          <w:tcPr>
            <w:tcW w:w="1037"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t>M</w:t>
            </w:r>
          </w:p>
        </w:tc>
        <w:tc>
          <w:tcPr>
            <w:tcW w:w="1038" w:type="dxa"/>
            <w:tcBorders>
              <w:top w:val="single" w:sz="4" w:space="0" w:color="000000"/>
              <w:left w:val="single" w:sz="4" w:space="0" w:color="000000"/>
              <w:bottom w:val="single" w:sz="4" w:space="0" w:color="000000"/>
              <w:right w:val="double" w:sz="2" w:space="0" w:color="000000"/>
            </w:tcBorders>
            <w:shd w:color="auto" w:fill="auto" w:val="clear"/>
            <w:vAlign w:val="center"/>
          </w:tcPr>
          <w:p>
            <w:pPr>
              <w:pStyle w:val="Normal"/>
              <w:widowControl w:val="false"/>
              <w:snapToGrid w:val="false"/>
              <w:spacing w:before="0" w:after="0"/>
              <w:jc w:val="center"/>
              <w:rPr/>
            </w:pPr>
            <w:r>
              <w:rPr/>
              <w:t>M</w:t>
            </w:r>
          </w:p>
        </w:tc>
      </w:tr>
      <w:tr>
        <w:trPr>
          <w:trHeight w:val="340" w:hRule="atLeast"/>
          <w:cantSplit w:val="true"/>
        </w:trPr>
        <w:tc>
          <w:tcPr>
            <w:tcW w:w="4640" w:type="dxa"/>
            <w:tcBorders>
              <w:top w:val="single" w:sz="4" w:space="0" w:color="000000"/>
              <w:left w:val="double" w:sz="2" w:space="0" w:color="000000"/>
              <w:bottom w:val="double" w:sz="2" w:space="0" w:color="000000"/>
            </w:tcBorders>
            <w:shd w:color="auto" w:fill="auto" w:val="clear"/>
            <w:vAlign w:val="center"/>
          </w:tcPr>
          <w:p>
            <w:pPr>
              <w:pStyle w:val="Normal"/>
              <w:widowControl w:val="false"/>
              <w:snapToGrid w:val="false"/>
              <w:spacing w:before="0" w:after="0"/>
              <w:jc w:val="left"/>
              <w:rPr/>
            </w:pPr>
            <w:r>
              <w:rPr/>
              <w:t>Nummerierung VA, AA, TW, Vordrucke, Formblätter</w:t>
            </w:r>
          </w:p>
        </w:tc>
        <w:tc>
          <w:tcPr>
            <w:tcW w:w="1037" w:type="dxa"/>
            <w:tcBorders>
              <w:top w:val="single" w:sz="4" w:space="0" w:color="000000"/>
              <w:left w:val="single" w:sz="4" w:space="0" w:color="000000"/>
              <w:bottom w:val="double" w:sz="2" w:space="0" w:color="000000"/>
            </w:tcBorders>
            <w:shd w:color="auto" w:fill="auto" w:val="clear"/>
            <w:vAlign w:val="center"/>
          </w:tcPr>
          <w:p>
            <w:pPr>
              <w:pStyle w:val="Normal"/>
              <w:widowControl w:val="false"/>
              <w:snapToGrid w:val="false"/>
              <w:spacing w:before="0" w:after="0"/>
              <w:jc w:val="center"/>
              <w:rPr/>
            </w:pPr>
            <w:r>
              <w:rPr/>
              <w:t>I</w:t>
            </w:r>
          </w:p>
        </w:tc>
        <w:tc>
          <w:tcPr>
            <w:tcW w:w="1037" w:type="dxa"/>
            <w:tcBorders>
              <w:top w:val="single" w:sz="4" w:space="0" w:color="000000"/>
              <w:left w:val="single" w:sz="4" w:space="0" w:color="000000"/>
              <w:bottom w:val="double" w:sz="2" w:space="0" w:color="000000"/>
            </w:tcBorders>
            <w:shd w:color="auto" w:fill="auto" w:val="clear"/>
            <w:vAlign w:val="center"/>
          </w:tcPr>
          <w:p>
            <w:pPr>
              <w:pStyle w:val="Normal"/>
              <w:widowControl w:val="false"/>
              <w:snapToGrid w:val="false"/>
              <w:spacing w:before="0" w:after="0"/>
              <w:jc w:val="center"/>
              <w:rPr/>
            </w:pPr>
            <w:r>
              <w:rPr/>
              <w:t>D</w:t>
            </w:r>
          </w:p>
        </w:tc>
        <w:tc>
          <w:tcPr>
            <w:tcW w:w="1037" w:type="dxa"/>
            <w:tcBorders>
              <w:top w:val="single" w:sz="4" w:space="0" w:color="000000"/>
              <w:left w:val="single" w:sz="4" w:space="0" w:color="000000"/>
              <w:bottom w:val="double" w:sz="2" w:space="0" w:color="000000"/>
            </w:tcBorders>
            <w:shd w:color="auto" w:fill="auto" w:val="clear"/>
            <w:vAlign w:val="center"/>
          </w:tcPr>
          <w:p>
            <w:pPr>
              <w:pStyle w:val="Normal"/>
              <w:widowControl w:val="false"/>
              <w:snapToGrid w:val="false"/>
              <w:spacing w:before="0" w:after="0"/>
              <w:jc w:val="center"/>
              <w:rPr/>
            </w:pPr>
            <w:r>
              <w:rPr/>
              <w:t>I</w:t>
            </w:r>
          </w:p>
        </w:tc>
        <w:tc>
          <w:tcPr>
            <w:tcW w:w="1038" w:type="dxa"/>
            <w:tcBorders>
              <w:top w:val="single" w:sz="4" w:space="0" w:color="000000"/>
              <w:left w:val="single" w:sz="4" w:space="0" w:color="000000"/>
              <w:bottom w:val="double" w:sz="2" w:space="0" w:color="000000"/>
              <w:right w:val="double" w:sz="2" w:space="0" w:color="000000"/>
            </w:tcBorders>
            <w:shd w:color="auto" w:fill="auto" w:val="clear"/>
            <w:vAlign w:val="center"/>
          </w:tcPr>
          <w:p>
            <w:pPr>
              <w:pStyle w:val="Normal"/>
              <w:widowControl w:val="false"/>
              <w:snapToGrid w:val="false"/>
              <w:spacing w:before="0" w:after="0"/>
              <w:jc w:val="center"/>
              <w:rPr/>
            </w:pPr>
            <w:r>
              <w:rPr/>
              <w:t>I</w:t>
            </w:r>
          </w:p>
        </w:tc>
      </w:tr>
    </w:tbl>
    <w:p>
      <w:pPr>
        <w:pStyle w:val="Normal"/>
        <w:jc w:val="center"/>
        <w:rPr/>
      </w:pPr>
      <w:r>
        <w:rPr/>
        <w:t>D- Durchführungsverantwortung</w:t>
        <w:tab/>
        <w:t>I - Information</w:t>
        <w:tab/>
        <w:tab/>
        <w:t>M - Mitwirkung</w:t>
      </w:r>
    </w:p>
    <w:p>
      <w:pPr>
        <w:pStyle w:val="Normal"/>
        <w:rPr/>
      </w:pPr>
      <w:r>
        <w:rPr/>
      </w:r>
    </w:p>
    <w:p>
      <w:pPr>
        <w:pStyle w:val="Normal"/>
        <w:jc w:val="left"/>
        <w:rPr/>
      </w:pPr>
      <w:r>
        <w:rPr/>
      </w:r>
      <w:r>
        <w:br w:type="page"/>
      </w:r>
    </w:p>
    <w:p>
      <w:pPr>
        <w:pStyle w:val="Berschrift1"/>
        <w:rPr/>
      </w:pPr>
      <w:bookmarkStart w:id="10" w:name="_Toc415651024"/>
      <w:bookmarkStart w:id="11" w:name="_Toc282769746"/>
      <w:bookmarkStart w:id="12" w:name="_Toc445113543"/>
      <w:bookmarkStart w:id="13" w:name="_Toc331491492"/>
      <w:bookmarkEnd w:id="10"/>
      <w:bookmarkEnd w:id="11"/>
      <w:r>
        <w:rPr/>
        <w:t>4. Beschreibung</w:t>
      </w:r>
      <w:bookmarkEnd w:id="12"/>
      <w:bookmarkEnd w:id="13"/>
    </w:p>
    <w:p>
      <w:pPr>
        <w:pStyle w:val="Berschrift1"/>
        <w:spacing w:before="0" w:after="240"/>
        <w:rPr/>
      </w:pPr>
      <w:bookmarkStart w:id="14" w:name="_Toc445113544"/>
      <w:bookmarkStart w:id="15" w:name="_Toc331491493"/>
      <w:r>
        <w:rPr/>
        <w:t>4.1 Übergeordnete Dokumente</w:t>
      </w:r>
      <w:bookmarkEnd w:id="14"/>
      <w:bookmarkEnd w:id="15"/>
    </w:p>
    <w:p>
      <w:pPr>
        <w:pStyle w:val="Normal"/>
        <w:rPr/>
      </w:pPr>
      <w:r>
        <w:rPr/>
        <w:t>Als übergeordnete Dokumente gelten Gesetze, Vorschriften der Kunden und allgemeingültige internationale Verträge:</w:t>
      </w:r>
    </w:p>
    <w:p>
      <w:pPr>
        <w:pStyle w:val="ListParagraph"/>
        <w:numPr>
          <w:ilvl w:val="0"/>
          <w:numId w:val="7"/>
        </w:numPr>
        <w:suppressAutoHyphens w:val="false"/>
        <w:spacing w:before="0" w:after="200"/>
        <w:contextualSpacing/>
        <w:rPr/>
      </w:pPr>
      <w:r>
        <w:rPr/>
        <w:t>das Allgemeine Eisenbahngesetz (AEG) und die Ausführungsbestimmungen,</w:t>
      </w:r>
    </w:p>
    <w:p>
      <w:pPr>
        <w:pStyle w:val="ListParagraph"/>
        <w:numPr>
          <w:ilvl w:val="0"/>
          <w:numId w:val="7"/>
        </w:numPr>
        <w:suppressAutoHyphens w:val="false"/>
        <w:spacing w:before="0" w:after="200"/>
        <w:contextualSpacing/>
        <w:rPr/>
      </w:pPr>
      <w:r>
        <w:rPr/>
        <w:t>die Eisenbahn Bau und Betriebsordnung (EBO),</w:t>
      </w:r>
    </w:p>
    <w:p>
      <w:pPr>
        <w:pStyle w:val="ListParagraph"/>
        <w:numPr>
          <w:ilvl w:val="0"/>
          <w:numId w:val="7"/>
        </w:numPr>
        <w:suppressAutoHyphens w:val="false"/>
        <w:spacing w:before="0" w:after="200"/>
        <w:contextualSpacing/>
        <w:rPr/>
      </w:pPr>
      <w:r>
        <w:rPr/>
        <w:t>der Allgemeine Verwendungsvertrag für Eisenbahngüterwagen in Europa (AVV),</w:t>
      </w:r>
    </w:p>
    <w:p>
      <w:pPr>
        <w:pStyle w:val="ListParagraph"/>
        <w:numPr>
          <w:ilvl w:val="0"/>
          <w:numId w:val="7"/>
        </w:numPr>
        <w:suppressAutoHyphens w:val="false"/>
        <w:spacing w:before="0" w:after="200"/>
        <w:contextualSpacing/>
        <w:rPr/>
      </w:pPr>
      <w:r>
        <w:rPr/>
        <w:t>sowie die Regelwerke unserer Kunden:</w:t>
      </w:r>
    </w:p>
    <w:p>
      <w:pPr>
        <w:pStyle w:val="ListParagraph"/>
        <w:numPr>
          <w:ilvl w:val="0"/>
          <w:numId w:val="8"/>
        </w:numPr>
        <w:suppressAutoHyphens w:val="false"/>
        <w:spacing w:before="0" w:after="200"/>
        <w:ind w:left="993" w:hanging="284"/>
        <w:contextualSpacing/>
        <w:rPr/>
      </w:pPr>
      <w:r>
        <w:rPr/>
        <w:t>VPI-Leitfaden (Mitglieder VPI, VAP und Ö)</w:t>
      </w:r>
    </w:p>
    <w:p>
      <w:pPr>
        <w:pStyle w:val="ListParagraph"/>
        <w:numPr>
          <w:ilvl w:val="0"/>
          <w:numId w:val="8"/>
        </w:numPr>
        <w:suppressAutoHyphens w:val="false"/>
        <w:spacing w:before="0" w:after="200"/>
        <w:ind w:left="993" w:hanging="284"/>
        <w:contextualSpacing/>
        <w:rPr/>
      </w:pPr>
      <w:r>
        <w:rPr/>
        <w:t>TSO (AAE)</w:t>
      </w:r>
    </w:p>
    <w:p>
      <w:pPr>
        <w:pStyle w:val="ListParagraph"/>
        <w:numPr>
          <w:ilvl w:val="0"/>
          <w:numId w:val="8"/>
        </w:numPr>
        <w:suppressAutoHyphens w:val="false"/>
        <w:spacing w:before="0" w:after="200"/>
        <w:ind w:left="993" w:hanging="284"/>
        <w:contextualSpacing/>
        <w:jc w:val="left"/>
        <w:rPr/>
      </w:pPr>
      <w:r>
        <w:rPr/>
        <w:t>DS 984 (DB Schenker)</w:t>
      </w:r>
    </w:p>
    <w:p>
      <w:pPr>
        <w:pStyle w:val="Berschrift3"/>
        <w:rPr/>
      </w:pPr>
      <w:bookmarkStart w:id="16" w:name="_Toc445113545"/>
      <w:r>
        <w:rPr/>
        <w:t>Verantwortlichkeiten</w:t>
      </w:r>
      <w:bookmarkEnd w:id="16"/>
      <w:r>
        <w:rPr/>
        <w:t xml:space="preserve"> </w:t>
      </w:r>
    </w:p>
    <w:tbl>
      <w:tblPr>
        <w:tblW w:w="7040" w:type="dxa"/>
        <w:jc w:val="center"/>
        <w:tblInd w:w="0" w:type="dxa"/>
        <w:tblLayout w:type="fixed"/>
        <w:tblCellMar>
          <w:top w:w="0" w:type="dxa"/>
          <w:left w:w="70" w:type="dxa"/>
          <w:bottom w:w="0" w:type="dxa"/>
          <w:right w:w="70" w:type="dxa"/>
        </w:tblCellMar>
        <w:tblLook w:val="0000" w:noHBand="0" w:noVBand="0" w:firstColumn="0" w:lastRow="0" w:lastColumn="0" w:firstRow="0"/>
      </w:tblPr>
      <w:tblGrid>
        <w:gridCol w:w="606"/>
        <w:gridCol w:w="5213"/>
        <w:gridCol w:w="1221"/>
      </w:tblGrid>
      <w:tr>
        <w:trPr>
          <w:tblHeader w:val="true"/>
          <w:trHeight w:val="636" w:hRule="atLeast"/>
          <w:cantSplit w:val="true"/>
        </w:trPr>
        <w:tc>
          <w:tcPr>
            <w:tcW w:w="606" w:type="dxa"/>
            <w:tcBorders>
              <w:top w:val="double" w:sz="2" w:space="0" w:color="000000"/>
              <w:left w:val="double" w:sz="2" w:space="0" w:color="000000"/>
              <w:bottom w:val="double" w:sz="2" w:space="0" w:color="000000"/>
            </w:tcBorders>
            <w:shd w:color="auto" w:fill="auto" w:val="clear"/>
            <w:vAlign w:val="center"/>
          </w:tcPr>
          <w:p>
            <w:pPr>
              <w:pStyle w:val="Normal"/>
              <w:widowControl w:val="false"/>
              <w:snapToGrid w:val="false"/>
              <w:spacing w:before="0" w:after="0"/>
              <w:jc w:val="center"/>
              <w:rPr>
                <w:b/>
                <w:b/>
              </w:rPr>
            </w:pPr>
            <w:r>
              <w:rPr>
                <w:b/>
              </w:rPr>
              <w:t>lfd. Nr.:</w:t>
            </w:r>
          </w:p>
        </w:tc>
        <w:tc>
          <w:tcPr>
            <w:tcW w:w="5213" w:type="dxa"/>
            <w:tcBorders>
              <w:top w:val="double" w:sz="2" w:space="0" w:color="000000"/>
              <w:left w:val="single" w:sz="4" w:space="0" w:color="000000"/>
              <w:bottom w:val="double" w:sz="2" w:space="0" w:color="000000"/>
            </w:tcBorders>
            <w:shd w:color="auto" w:fill="auto" w:val="clear"/>
            <w:vAlign w:val="center"/>
          </w:tcPr>
          <w:p>
            <w:pPr>
              <w:pStyle w:val="Normal"/>
              <w:widowControl w:val="false"/>
              <w:snapToGrid w:val="false"/>
              <w:spacing w:before="0" w:after="0"/>
              <w:jc w:val="center"/>
              <w:rPr>
                <w:b/>
                <w:b/>
              </w:rPr>
            </w:pPr>
            <w:r>
              <w:rPr>
                <w:b/>
              </w:rPr>
              <w:t>Beschreibung des Verfahrensablaufes und der auszuführenden Aktivitäten</w:t>
            </w:r>
          </w:p>
        </w:tc>
        <w:tc>
          <w:tcPr>
            <w:tcW w:w="1221" w:type="dxa"/>
            <w:tcBorders>
              <w:top w:val="double" w:sz="2" w:space="0" w:color="000000"/>
              <w:left w:val="single" w:sz="4" w:space="0" w:color="000000"/>
              <w:bottom w:val="double" w:sz="2" w:space="0" w:color="000000"/>
              <w:right w:val="double" w:sz="2" w:space="0" w:color="000000"/>
            </w:tcBorders>
            <w:shd w:color="auto" w:fill="auto" w:val="clear"/>
            <w:vAlign w:val="center"/>
          </w:tcPr>
          <w:p>
            <w:pPr>
              <w:pStyle w:val="Normal"/>
              <w:widowControl w:val="false"/>
              <w:snapToGrid w:val="false"/>
              <w:spacing w:before="0" w:after="0"/>
              <w:jc w:val="center"/>
              <w:rPr>
                <w:b/>
                <w:b/>
              </w:rPr>
            </w:pPr>
            <w:r>
              <w:rPr>
                <w:b/>
              </w:rPr>
              <w:t>Verant-wortlich</w:t>
            </w:r>
          </w:p>
        </w:tc>
      </w:tr>
      <w:tr>
        <w:trPr>
          <w:trHeight w:val="336" w:hRule="atLeast"/>
          <w:cantSplit w:val="true"/>
        </w:trPr>
        <w:tc>
          <w:tcPr>
            <w:tcW w:w="606" w:type="dxa"/>
            <w:tcBorders>
              <w:left w:val="double" w:sz="2" w:space="0" w:color="000000"/>
              <w:bottom w:val="single" w:sz="4" w:space="0" w:color="000000"/>
            </w:tcBorders>
            <w:shd w:color="auto" w:fill="auto" w:val="clear"/>
            <w:vAlign w:val="center"/>
          </w:tcPr>
          <w:p>
            <w:pPr>
              <w:pStyle w:val="Normal"/>
              <w:widowControl w:val="false"/>
              <w:snapToGrid w:val="false"/>
              <w:spacing w:lineRule="auto" w:line="240" w:before="0" w:after="0"/>
              <w:jc w:val="center"/>
              <w:rPr/>
            </w:pPr>
            <w:r>
              <w:rPr/>
              <w:t>1.</w:t>
            </w:r>
          </w:p>
        </w:tc>
        <w:tc>
          <w:tcPr>
            <w:tcW w:w="5213" w:type="dxa"/>
            <w:tcBorders>
              <w:left w:val="single" w:sz="4" w:space="0" w:color="000000"/>
              <w:bottom w:val="single" w:sz="4" w:space="0" w:color="000000"/>
            </w:tcBorders>
            <w:shd w:color="auto" w:fill="auto" w:val="clear"/>
            <w:vAlign w:val="center"/>
          </w:tcPr>
          <w:p>
            <w:pPr>
              <w:pStyle w:val="Normal"/>
              <w:widowControl w:val="false"/>
              <w:snapToGrid w:val="false"/>
              <w:spacing w:lineRule="auto" w:line="240" w:before="0" w:after="0"/>
              <w:jc w:val="left"/>
              <w:rPr/>
            </w:pPr>
            <w:r>
              <w:rPr/>
              <w:t>Festlegungen zur Dokumentenlenkung</w:t>
            </w:r>
          </w:p>
        </w:tc>
        <w:tc>
          <w:tcPr>
            <w:tcW w:w="1221" w:type="dxa"/>
            <w:tcBorders>
              <w:left w:val="single" w:sz="4" w:space="0" w:color="000000"/>
              <w:bottom w:val="single" w:sz="4" w:space="0" w:color="000000"/>
              <w:right w:val="double" w:sz="2" w:space="0" w:color="000000"/>
            </w:tcBorders>
            <w:shd w:color="auto" w:fill="auto" w:val="clear"/>
            <w:vAlign w:val="center"/>
          </w:tcPr>
          <w:p>
            <w:pPr>
              <w:pStyle w:val="Normal"/>
              <w:widowControl w:val="false"/>
              <w:snapToGrid w:val="false"/>
              <w:spacing w:lineRule="auto" w:line="240" w:before="0" w:after="0"/>
              <w:jc w:val="center"/>
              <w:rPr/>
            </w:pPr>
            <w:r>
              <w:rPr/>
              <w:t>GF</w:t>
            </w:r>
          </w:p>
        </w:tc>
      </w:tr>
      <w:tr>
        <w:trPr>
          <w:trHeight w:val="336" w:hRule="atLeast"/>
          <w:cantSplit w:val="true"/>
        </w:trPr>
        <w:tc>
          <w:tcPr>
            <w:tcW w:w="606" w:type="dxa"/>
            <w:tcBorders>
              <w:top w:val="single" w:sz="4" w:space="0" w:color="000000"/>
              <w:left w:val="double" w:sz="2" w:space="0" w:color="000000"/>
              <w:bottom w:val="single" w:sz="4" w:space="0" w:color="000000"/>
            </w:tcBorders>
            <w:shd w:color="auto" w:fill="auto" w:val="clear"/>
            <w:vAlign w:val="center"/>
          </w:tcPr>
          <w:p>
            <w:pPr>
              <w:pStyle w:val="Normal"/>
              <w:widowControl w:val="false"/>
              <w:snapToGrid w:val="false"/>
              <w:spacing w:lineRule="auto" w:line="240" w:before="0" w:after="0"/>
              <w:jc w:val="center"/>
              <w:rPr/>
            </w:pPr>
            <w:r>
              <w:rPr/>
              <w:t>2.</w:t>
            </w:r>
          </w:p>
        </w:tc>
        <w:tc>
          <w:tcPr>
            <w:tcW w:w="5213"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lineRule="auto" w:line="240" w:before="0" w:after="0"/>
              <w:jc w:val="left"/>
              <w:rPr/>
            </w:pPr>
            <w:r>
              <w:rPr/>
              <w:t>Regelwerkspflege</w:t>
            </w:r>
          </w:p>
        </w:tc>
        <w:tc>
          <w:tcPr>
            <w:tcW w:w="1221" w:type="dxa"/>
            <w:tcBorders>
              <w:top w:val="single" w:sz="4" w:space="0" w:color="000000"/>
              <w:left w:val="single" w:sz="4" w:space="0" w:color="000000"/>
              <w:bottom w:val="single" w:sz="4" w:space="0" w:color="000000"/>
              <w:right w:val="double" w:sz="2" w:space="0" w:color="000000"/>
            </w:tcBorders>
            <w:shd w:color="auto" w:fill="auto" w:val="clear"/>
            <w:vAlign w:val="center"/>
          </w:tcPr>
          <w:p>
            <w:pPr>
              <w:pStyle w:val="Normal"/>
              <w:widowControl w:val="false"/>
              <w:snapToGrid w:val="false"/>
              <w:spacing w:lineRule="auto" w:line="240" w:before="0" w:after="0"/>
              <w:jc w:val="center"/>
              <w:rPr/>
            </w:pPr>
            <w:r>
              <w:rPr/>
              <w:t>RV</w:t>
            </w:r>
          </w:p>
        </w:tc>
      </w:tr>
      <w:tr>
        <w:trPr>
          <w:trHeight w:val="336" w:hRule="atLeast"/>
          <w:cantSplit w:val="true"/>
        </w:trPr>
        <w:tc>
          <w:tcPr>
            <w:tcW w:w="606" w:type="dxa"/>
            <w:tcBorders>
              <w:top w:val="single" w:sz="4" w:space="0" w:color="000000"/>
              <w:left w:val="double" w:sz="2" w:space="0" w:color="000000"/>
              <w:bottom w:val="double" w:sz="2" w:space="0" w:color="000000"/>
            </w:tcBorders>
            <w:shd w:color="auto" w:fill="auto" w:val="clear"/>
            <w:vAlign w:val="center"/>
          </w:tcPr>
          <w:p>
            <w:pPr>
              <w:pStyle w:val="Normal"/>
              <w:widowControl w:val="false"/>
              <w:snapToGrid w:val="false"/>
              <w:spacing w:lineRule="auto" w:line="240" w:before="0" w:after="0"/>
              <w:jc w:val="center"/>
              <w:rPr/>
            </w:pPr>
            <w:r>
              <w:rPr/>
              <w:t>3.</w:t>
            </w:r>
          </w:p>
        </w:tc>
        <w:tc>
          <w:tcPr>
            <w:tcW w:w="5213" w:type="dxa"/>
            <w:tcBorders>
              <w:top w:val="single" w:sz="4" w:space="0" w:color="000000"/>
              <w:left w:val="single" w:sz="4" w:space="0" w:color="000000"/>
              <w:bottom w:val="double" w:sz="2" w:space="0" w:color="000000"/>
            </w:tcBorders>
            <w:shd w:color="auto" w:fill="auto" w:val="clear"/>
            <w:vAlign w:val="center"/>
          </w:tcPr>
          <w:p>
            <w:pPr>
              <w:pStyle w:val="Normal"/>
              <w:widowControl w:val="false"/>
              <w:snapToGrid w:val="false"/>
              <w:spacing w:lineRule="auto" w:line="240" w:before="0" w:after="0"/>
              <w:jc w:val="left"/>
              <w:rPr/>
            </w:pPr>
            <w:r>
              <w:rPr/>
              <w:t>Systemsicherheit</w:t>
            </w:r>
          </w:p>
        </w:tc>
        <w:tc>
          <w:tcPr>
            <w:tcW w:w="1221" w:type="dxa"/>
            <w:tcBorders>
              <w:top w:val="single" w:sz="4" w:space="0" w:color="000000"/>
              <w:left w:val="single" w:sz="4" w:space="0" w:color="000000"/>
              <w:bottom w:val="double" w:sz="2" w:space="0" w:color="000000"/>
              <w:right w:val="double" w:sz="2" w:space="0" w:color="000000"/>
            </w:tcBorders>
            <w:shd w:color="auto" w:fill="auto" w:val="clear"/>
            <w:vAlign w:val="center"/>
          </w:tcPr>
          <w:p>
            <w:pPr>
              <w:pStyle w:val="Normal"/>
              <w:widowControl w:val="false"/>
              <w:snapToGrid w:val="false"/>
              <w:spacing w:lineRule="auto" w:line="240" w:before="0" w:after="0"/>
              <w:jc w:val="center"/>
              <w:rPr/>
            </w:pPr>
            <w:r>
              <w:rPr/>
              <w:t>IL</w:t>
            </w:r>
          </w:p>
        </w:tc>
      </w:tr>
      <w:tr>
        <w:trPr>
          <w:trHeight w:val="336" w:hRule="atLeast"/>
          <w:cantSplit w:val="true"/>
        </w:trPr>
        <w:tc>
          <w:tcPr>
            <w:tcW w:w="606" w:type="dxa"/>
            <w:tcBorders>
              <w:top w:val="single" w:sz="4" w:space="0" w:color="000000"/>
              <w:left w:val="double" w:sz="2" w:space="0" w:color="000000"/>
              <w:bottom w:val="double" w:sz="2" w:space="0" w:color="000000"/>
            </w:tcBorders>
            <w:shd w:color="auto" w:fill="auto" w:val="clear"/>
            <w:vAlign w:val="center"/>
          </w:tcPr>
          <w:p>
            <w:pPr>
              <w:pStyle w:val="Normal"/>
              <w:widowControl w:val="false"/>
              <w:snapToGrid w:val="false"/>
              <w:spacing w:lineRule="auto" w:line="240" w:before="0" w:after="0"/>
              <w:jc w:val="center"/>
              <w:rPr/>
            </w:pPr>
            <w:r>
              <w:rPr/>
              <w:t>3.</w:t>
            </w:r>
          </w:p>
        </w:tc>
        <w:tc>
          <w:tcPr>
            <w:tcW w:w="5213" w:type="dxa"/>
            <w:tcBorders>
              <w:top w:val="single" w:sz="4" w:space="0" w:color="000000"/>
              <w:left w:val="single" w:sz="4" w:space="0" w:color="000000"/>
              <w:bottom w:val="double" w:sz="2" w:space="0" w:color="000000"/>
            </w:tcBorders>
            <w:shd w:color="auto" w:fill="auto" w:val="clear"/>
            <w:vAlign w:val="center"/>
          </w:tcPr>
          <w:p>
            <w:pPr>
              <w:pStyle w:val="Normal"/>
              <w:widowControl w:val="false"/>
              <w:snapToGrid w:val="false"/>
              <w:spacing w:lineRule="auto" w:line="240" w:before="0" w:after="0"/>
              <w:jc w:val="left"/>
              <w:rPr/>
            </w:pPr>
            <w:r>
              <w:rPr/>
              <w:t>Anwendung</w:t>
            </w:r>
          </w:p>
        </w:tc>
        <w:tc>
          <w:tcPr>
            <w:tcW w:w="1221" w:type="dxa"/>
            <w:tcBorders>
              <w:top w:val="single" w:sz="4" w:space="0" w:color="000000"/>
              <w:left w:val="single" w:sz="4" w:space="0" w:color="000000"/>
              <w:bottom w:val="double" w:sz="2" w:space="0" w:color="000000"/>
              <w:right w:val="double" w:sz="2" w:space="0" w:color="000000"/>
            </w:tcBorders>
            <w:shd w:color="auto" w:fill="auto" w:val="clear"/>
            <w:vAlign w:val="center"/>
          </w:tcPr>
          <w:p>
            <w:pPr>
              <w:pStyle w:val="Normal"/>
              <w:widowControl w:val="false"/>
              <w:snapToGrid w:val="false"/>
              <w:spacing w:lineRule="auto" w:line="240" w:before="0" w:after="0"/>
              <w:jc w:val="center"/>
              <w:rPr/>
            </w:pPr>
            <w:r>
              <w:rPr/>
              <w:t>QMB/</w:t>
            </w:r>
            <w:r>
              <w:rPr>
                <w:highlight w:val="yellow"/>
              </w:rPr>
              <w:t>LIH</w:t>
            </w:r>
          </w:p>
        </w:tc>
      </w:tr>
    </w:tbl>
    <w:p>
      <w:pPr>
        <w:pStyle w:val="Normal"/>
        <w:rPr/>
      </w:pPr>
      <w:r>
        <w:rPr/>
      </w:r>
    </w:p>
    <w:p>
      <w:pPr>
        <w:pStyle w:val="Berschrift2"/>
        <w:rPr/>
      </w:pPr>
      <w:bookmarkStart w:id="17" w:name="_Toc445113546"/>
      <w:bookmarkStart w:id="18" w:name="_Toc331491494"/>
      <w:r>
        <w:rPr/>
        <w:t>4.1.1 Lenkung übergeordneter Dokument</w:t>
      </w:r>
      <w:bookmarkEnd w:id="18"/>
      <w:r>
        <w:rPr/>
        <w:t>e</w:t>
      </w:r>
      <w:bookmarkEnd w:id="17"/>
    </w:p>
    <w:p>
      <w:pPr>
        <w:pStyle w:val="Normal"/>
        <w:rPr/>
      </w:pPr>
      <w:r>
        <w:rPr/>
        <w:t xml:space="preserve">Für die Lenkung der übergeordneten Dokumente </w:t>
      </w:r>
      <w:r>
        <w:rPr>
          <w:highlight w:val="yellow"/>
        </w:rPr>
        <w:t>ist ein</w:t>
      </w:r>
      <w:r>
        <w:rPr/>
        <w:t xml:space="preserve"> Regelwerksverantwortlicher (RV) berufen. Sie verwalten die übergeordneten Dokumente, pflegen Änderungen ein und veröffentlichen diese für die MA auf dem Gruppenlaufwerk der </w:t>
      </w:r>
      <w:r>
        <w:rPr>
          <w:i/>
        </w:rPr>
        <w:t xml:space="preserve">waggon24 </w:t>
      </w:r>
      <w:r>
        <w:rPr/>
        <w:t>GmbH.</w:t>
      </w:r>
    </w:p>
    <w:p>
      <w:pPr>
        <w:pStyle w:val="Normal"/>
        <w:rPr/>
      </w:pPr>
      <w:r>
        <w:rPr/>
        <w:t>Einschlägige Empfehlungen der nationalen Sicherheitsbehörde, der nationalen Untersuchungsstelle und Untersuchungen der Branche werden über die VPI Rundmail bezogen, evaluiert und gegebenenfalls umgesetzt.</w:t>
      </w:r>
    </w:p>
    <w:p>
      <w:pPr>
        <w:pStyle w:val="Normal"/>
        <w:rPr/>
      </w:pPr>
      <w:r>
        <mc:AlternateContent>
          <mc:Choice Requires="wps">
            <w:drawing>
              <wp:anchor behindDoc="0" distT="0" distB="20320" distL="0" distR="33020" simplePos="0" locked="0" layoutInCell="0" allowOverlap="1" relativeHeight="12" wp14:anchorId="1952A993">
                <wp:simplePos x="0" y="0"/>
                <wp:positionH relativeFrom="column">
                  <wp:posOffset>15445105</wp:posOffset>
                </wp:positionH>
                <wp:positionV relativeFrom="paragraph">
                  <wp:posOffset>396875</wp:posOffset>
                </wp:positionV>
                <wp:extent cx="5080" cy="246380"/>
                <wp:effectExtent l="5080" t="5080" r="5080" b="5080"/>
                <wp:wrapNone/>
                <wp:docPr id="1" name="Gerade Verbindung 2"/>
                <a:graphic xmlns:a="http://schemas.openxmlformats.org/drawingml/2006/main">
                  <a:graphicData uri="http://schemas.microsoft.com/office/word/2010/wordprocessingShape">
                    <wps:wsp>
                      <wps:cNvSpPr/>
                      <wps:spPr>
                        <a:xfrm>
                          <a:off x="0" y="0"/>
                          <a:ext cx="5040" cy="246240"/>
                        </a:xfrm>
                        <a:prstGeom prst="line">
                          <a:avLst/>
                        </a:prstGeom>
                        <a:ln>
                          <a:solidFill>
                            <a:srgbClr val="4a7ebb"/>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216.15pt,31.25pt" to="1216.5pt,50.6pt" ID="Gerade Verbindung 2" stroked="t" o:allowincell="f" style="position:absolute" wp14:anchorId="1952A993">
                <v:stroke color="#4a7ebb" weight="9360" joinstyle="round" endcap="flat"/>
                <v:fill o:detectmouseclick="t" on="false"/>
                <w10:wrap type="none"/>
              </v:line>
            </w:pict>
          </mc:Fallback>
        </mc:AlternateContent>
      </w:r>
      <w:r>
        <w:rPr/>
        <w:t>Einschlägige Berichte/Informationen von Eisenbahnunternehmen/Infrastrukturbetreibern und Haltern werden über die Instandhaltungstechnischen Weisungen (Güterwagen) der DB Schenker Rail Deutschland AG herangezogen und berücksichtigt.</w:t>
      </w:r>
    </w:p>
    <w:tbl>
      <w:tblPr>
        <w:tblStyle w:val="Tabellenraster"/>
        <w:tblW w:w="776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087"/>
        <w:gridCol w:w="4672"/>
      </w:tblGrid>
      <w:tr>
        <w:trPr>
          <w:trHeight w:val="283" w:hRule="atLeast"/>
        </w:trPr>
        <w:tc>
          <w:tcPr>
            <w:tcW w:w="3087" w:type="dxa"/>
            <w:tcBorders/>
            <w:vAlign w:val="center"/>
          </w:tcPr>
          <w:p>
            <w:pPr>
              <w:pStyle w:val="Normal"/>
              <w:widowControl/>
              <w:spacing w:lineRule="auto" w:line="240" w:before="0" w:after="0"/>
              <w:jc w:val="left"/>
              <w:rPr>
                <w:b/>
                <w:b/>
              </w:rPr>
            </w:pPr>
            <w:r>
              <w:rPr>
                <w:rFonts w:eastAsia="" w:cs=""/>
                <w:b/>
                <w:kern w:val="0"/>
                <w:sz w:val="22"/>
                <w:szCs w:val="22"/>
                <w:lang w:val="de-DE" w:eastAsia="de-DE" w:bidi="ar-SA"/>
              </w:rPr>
              <w:t>Übergeordnetes Dokument</w:t>
            </w:r>
          </w:p>
        </w:tc>
        <w:tc>
          <w:tcPr>
            <w:tcW w:w="4672" w:type="dxa"/>
            <w:tcBorders/>
            <w:vAlign w:val="center"/>
          </w:tcPr>
          <w:p>
            <w:pPr>
              <w:pStyle w:val="Normal"/>
              <w:widowControl/>
              <w:spacing w:lineRule="auto" w:line="240" w:before="0" w:after="0"/>
              <w:jc w:val="left"/>
              <w:rPr>
                <w:b/>
                <w:b/>
              </w:rPr>
            </w:pPr>
            <w:r>
              <w:rPr>
                <w:rFonts w:eastAsia="" w:cs=""/>
                <w:b/>
                <w:kern w:val="0"/>
                <w:sz w:val="22"/>
                <w:szCs w:val="22"/>
                <w:lang w:val="de-DE" w:eastAsia="de-DE" w:bidi="ar-SA"/>
              </w:rPr>
              <w:t>Aktualisierungsintervall</w:t>
            </w:r>
          </w:p>
        </w:tc>
      </w:tr>
      <w:tr>
        <w:trPr>
          <w:trHeight w:val="283" w:hRule="atLeast"/>
        </w:trPr>
        <w:tc>
          <w:tcPr>
            <w:tcW w:w="3087" w:type="dxa"/>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AVV</w:t>
            </w:r>
          </w:p>
        </w:tc>
        <w:tc>
          <w:tcPr>
            <w:tcW w:w="4672" w:type="dxa"/>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2-Wochen-Rhythmus</w:t>
            </w:r>
          </w:p>
        </w:tc>
      </w:tr>
      <w:tr>
        <w:trPr>
          <w:trHeight w:val="283" w:hRule="atLeast"/>
        </w:trPr>
        <w:tc>
          <w:tcPr>
            <w:tcW w:w="3087" w:type="dxa"/>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VPI Rundmail</w:t>
            </w:r>
          </w:p>
        </w:tc>
        <w:tc>
          <w:tcPr>
            <w:tcW w:w="4672" w:type="dxa"/>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nach Erhalt</w:t>
            </w:r>
          </w:p>
        </w:tc>
      </w:tr>
      <w:tr>
        <w:trPr>
          <w:trHeight w:val="283" w:hRule="atLeast"/>
        </w:trPr>
        <w:tc>
          <w:tcPr>
            <w:tcW w:w="3087" w:type="dxa"/>
            <w:tcBorders/>
            <w:vAlign w:val="center"/>
          </w:tcPr>
          <w:p>
            <w:pPr>
              <w:pStyle w:val="Normal"/>
              <w:widowControl/>
              <w:spacing w:lineRule="auto" w:line="240" w:before="0" w:after="0"/>
              <w:jc w:val="left"/>
              <w:rPr>
                <w:b/>
                <w:b/>
              </w:rPr>
            </w:pPr>
            <w:r>
              <w:rPr>
                <w:rFonts w:eastAsia="" w:cs=""/>
                <w:kern w:val="0"/>
                <w:sz w:val="22"/>
                <w:szCs w:val="22"/>
                <w:lang w:val="de-DE" w:eastAsia="de-DE" w:bidi="ar-SA"/>
              </w:rPr>
              <w:t>VPI</w:t>
            </w:r>
          </w:p>
        </w:tc>
        <w:tc>
          <w:tcPr>
            <w:tcW w:w="4672" w:type="dxa"/>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2-Wochen-Rhythmus</w:t>
            </w:r>
          </w:p>
        </w:tc>
      </w:tr>
      <w:tr>
        <w:trPr>
          <w:trHeight w:val="283" w:hRule="atLeast"/>
        </w:trPr>
        <w:tc>
          <w:tcPr>
            <w:tcW w:w="3087" w:type="dxa"/>
            <w:tcBorders/>
            <w:vAlign w:val="center"/>
          </w:tcPr>
          <w:p>
            <w:pPr>
              <w:pStyle w:val="Normal"/>
              <w:widowControl/>
              <w:spacing w:lineRule="auto" w:line="240" w:before="0" w:after="0"/>
              <w:jc w:val="left"/>
              <w:rPr>
                <w:b/>
                <w:b/>
              </w:rPr>
            </w:pPr>
            <w:r>
              <w:rPr>
                <w:rFonts w:eastAsia="" w:cs=""/>
                <w:kern w:val="0"/>
                <w:sz w:val="22"/>
                <w:szCs w:val="22"/>
                <w:lang w:val="de-DE" w:eastAsia="de-DE" w:bidi="ar-SA"/>
              </w:rPr>
              <w:t>DS 984</w:t>
            </w:r>
            <w:r>
              <w:rPr>
                <w:rFonts w:eastAsia="" w:cs=""/>
                <w:i/>
                <w:kern w:val="0"/>
                <w:sz w:val="22"/>
                <w:szCs w:val="22"/>
                <w:lang w:val="de-DE" w:eastAsia="de-DE" w:bidi="ar-SA"/>
              </w:rPr>
              <w:t>ff</w:t>
            </w:r>
          </w:p>
        </w:tc>
        <w:tc>
          <w:tcPr>
            <w:tcW w:w="4672" w:type="dxa"/>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nach Bekanntgabe durch die DB</w:t>
            </w:r>
          </w:p>
        </w:tc>
      </w:tr>
      <w:tr>
        <w:trPr>
          <w:trHeight w:val="283" w:hRule="atLeast"/>
        </w:trPr>
        <w:tc>
          <w:tcPr>
            <w:tcW w:w="3087" w:type="dxa"/>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IWC</w:t>
            </w:r>
          </w:p>
        </w:tc>
        <w:tc>
          <w:tcPr>
            <w:tcW w:w="4672" w:type="dxa"/>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nach Bekanntgabe durch die DB</w:t>
            </w:r>
          </w:p>
        </w:tc>
      </w:tr>
      <w:tr>
        <w:trPr>
          <w:trHeight w:val="283" w:hRule="atLeast"/>
        </w:trPr>
        <w:tc>
          <w:tcPr>
            <w:tcW w:w="3087" w:type="dxa"/>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TSO</w:t>
            </w:r>
          </w:p>
        </w:tc>
        <w:tc>
          <w:tcPr>
            <w:tcW w:w="4672" w:type="dxa"/>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mc:AlternateContent>
                <mc:Choice Requires="wps">
                  <w:drawing>
                    <wp:anchor behindDoc="0" distT="0" distB="23495" distL="0" distR="33020" simplePos="0" locked="0" layoutInCell="0" allowOverlap="1" relativeHeight="13" wp14:anchorId="0989E8FE">
                      <wp:simplePos x="0" y="0"/>
                      <wp:positionH relativeFrom="column">
                        <wp:posOffset>7018655</wp:posOffset>
                      </wp:positionH>
                      <wp:positionV relativeFrom="paragraph">
                        <wp:posOffset>179705</wp:posOffset>
                      </wp:positionV>
                      <wp:extent cx="5080" cy="224155"/>
                      <wp:effectExtent l="5080" t="5080" r="5080" b="5080"/>
                      <wp:wrapNone/>
                      <wp:docPr id="2" name="Gerade Verbindung 3"/>
                      <a:graphic xmlns:a="http://schemas.openxmlformats.org/drawingml/2006/main">
                        <a:graphicData uri="http://schemas.microsoft.com/office/word/2010/wordprocessingShape">
                          <wps:wsp>
                            <wps:cNvSpPr/>
                            <wps:spPr>
                              <a:xfrm>
                                <a:off x="0" y="0"/>
                                <a:ext cx="5040" cy="224280"/>
                              </a:xfrm>
                              <a:prstGeom prst="line">
                                <a:avLst/>
                              </a:prstGeom>
                              <a:ln>
                                <a:solidFill>
                                  <a:srgbClr val="4a7ebb"/>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552.65pt,14.15pt" to="553pt,31.75pt" ID="Gerade Verbindung 3" stroked="t" o:allowincell="f" style="position:absolute" wp14:anchorId="0989E8FE">
                      <v:stroke color="#4a7ebb" weight="9360" joinstyle="round" endcap="flat"/>
                      <v:fill o:detectmouseclick="t" on="false"/>
                      <w10:wrap type="none"/>
                    </v:line>
                  </w:pict>
                </mc:Fallback>
              </mc:AlternateContent>
            </w:r>
            <w:r>
              <w:rPr>
                <w:rFonts w:eastAsia="" w:cs=""/>
                <w:kern w:val="0"/>
                <w:sz w:val="22"/>
                <w:szCs w:val="22"/>
                <w:lang w:val="de-DE" w:eastAsia="de-DE" w:bidi="ar-SA"/>
              </w:rPr>
              <w:t>2-Wochen-Rhythmus</w:t>
            </w:r>
          </w:p>
        </w:tc>
      </w:tr>
      <w:tr>
        <w:trPr>
          <w:trHeight w:val="283" w:hRule="atLeast"/>
        </w:trPr>
        <w:tc>
          <w:tcPr>
            <w:tcW w:w="3087" w:type="dxa"/>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ECM Seite des EBA</w:t>
            </w:r>
          </w:p>
        </w:tc>
        <w:tc>
          <w:tcPr>
            <w:tcW w:w="4672" w:type="dxa"/>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2-Wochen-Rhythmus</w:t>
            </w:r>
          </w:p>
        </w:tc>
      </w:tr>
    </w:tbl>
    <w:p>
      <w:pPr>
        <w:pStyle w:val="Normal"/>
        <w:rPr/>
      </w:pPr>
      <w:r>
        <w:rPr/>
        <w:br/>
        <w:t>Die Überprüfung der Aktualität wird auf dem FB „Aktualisierungsübersicht Regelwerke“ dokumentiert.</w:t>
      </w:r>
    </w:p>
    <w:p>
      <w:pPr>
        <w:pStyle w:val="Normal"/>
        <w:rPr/>
      </w:pPr>
      <w:r>
        <w:rPr/>
        <w:t xml:space="preserve">Übergeordnete Dokumente </w:t>
      </w:r>
      <w:r>
        <w:rPr>
          <w:highlight w:val="yellow"/>
        </w:rPr>
        <w:t>werden</w:t>
      </w:r>
      <w:r>
        <w:rPr/>
        <w:t xml:space="preserve"> hinsichtlich ihrer Auswirkungen geprüft. Ergeben sich im Ergebnis dieser Prüfung Auswirkungen auf die Dokumentation der </w:t>
      </w:r>
      <w:r>
        <w:rPr>
          <w:i/>
        </w:rPr>
        <w:t xml:space="preserve">waggon24 </w:t>
      </w:r>
      <w:r>
        <w:rPr/>
        <w:t>GmbH werden diese durch die Dokumentenverantwortlichen umgesetzt / in die Dokumente eingepflegt. Es erfolgen Information ggf. Schulung des Personals (</w:t>
      </w:r>
      <w:r>
        <w:rPr>
          <w:highlight w:val="yellow"/>
        </w:rPr>
        <w:t>PD Externes Regelwerk</w:t>
      </w:r>
      <w:r>
        <w:rPr/>
        <w:t>).</w:t>
      </w:r>
    </w:p>
    <w:p>
      <w:pPr>
        <w:pStyle w:val="Normal"/>
        <w:rPr/>
      </w:pPr>
      <w:r>
        <w:rPr/>
        <w:t xml:space="preserve">Zur Prüfung aktueller ECM Anforderungen erfolgt der regelmäßige Besuch der web-Seite des EBA </w:t>
      </w:r>
      <w:hyperlink r:id="rId2">
        <w:r>
          <w:rPr>
            <w:rStyle w:val="Internetverknpfung"/>
          </w:rPr>
          <w:t>http://www.eba.bund.de/cln_031/nn_204508/DE/Fachthemen/Fahrzeuge/Instandhaltung/</w:t>
        </w:r>
      </w:hyperlink>
      <w:r>
        <w:rPr/>
        <w:t xml:space="preserve"> </w:t>
      </w:r>
    </w:p>
    <w:p>
      <w:pPr>
        <w:pStyle w:val="Berschrift1"/>
        <w:rPr/>
      </w:pPr>
      <w:bookmarkStart w:id="19" w:name="_Toc445113547"/>
      <w:bookmarkStart w:id="20" w:name="_Toc331491495"/>
      <w:bookmarkStart w:id="21" w:name="_Toc415651023"/>
      <w:bookmarkStart w:id="22" w:name="_Toc282769745"/>
      <w:r>
        <w:rPr/>
        <w:t>4.2 Ausgabe, Verteilung und Revision dokumentierter Informationen</w:t>
      </w:r>
      <w:bookmarkEnd w:id="19"/>
      <w:bookmarkEnd w:id="20"/>
      <w:bookmarkEnd w:id="21"/>
      <w:bookmarkEnd w:id="22"/>
    </w:p>
    <w:p>
      <w:pPr>
        <w:pStyle w:val="Normal"/>
        <w:rPr/>
      </w:pPr>
      <w:r>
        <w:rPr/>
        <w:t>Der QMB ist für die Erstellung, Verteilung und Revision des Qualitätsmanagement-Handbuches verantwortlich. Der GF genehmigt die Erstausgabe und alle Revisionen des Managementhandbuches.</w:t>
      </w:r>
    </w:p>
    <w:p>
      <w:pPr>
        <w:pStyle w:val="Normal"/>
        <w:rPr/>
      </w:pPr>
      <w:r>
        <w:rPr/>
        <w:t>Das QMH ist in der aktuellen Version auf dem Gruppenlaufwerk für alle MA zugänglich abgelegt.</w:t>
      </w:r>
    </w:p>
    <w:p>
      <w:pPr>
        <w:pStyle w:val="Berschrift2"/>
        <w:rPr/>
      </w:pPr>
      <w:bookmarkStart w:id="23" w:name="_Toc415651024"/>
      <w:bookmarkStart w:id="24" w:name="_Toc282769746"/>
      <w:bookmarkStart w:id="25" w:name="_Toc445113548"/>
      <w:bookmarkStart w:id="26" w:name="_Toc331491496"/>
      <w:bookmarkEnd w:id="23"/>
      <w:bookmarkEnd w:id="24"/>
      <w:r>
        <w:rPr/>
        <w:t>4.2.1 Verfahrensanweisungen</w:t>
      </w:r>
      <w:bookmarkEnd w:id="26"/>
      <w:r>
        <w:rPr/>
        <w:t xml:space="preserve"> (VA)</w:t>
      </w:r>
      <w:bookmarkEnd w:id="25"/>
    </w:p>
    <w:p>
      <w:pPr>
        <w:pStyle w:val="Normal"/>
        <w:rPr/>
      </w:pPr>
      <w:r>
        <w:rPr/>
        <w:t xml:space="preserve">VA sind von der GL und LIH (Prozessverantwortliche) unter Mitwirkung des QMB zu erstellen. Vor der Veröffentlichung sind VAs durch den GF / </w:t>
      </w:r>
      <w:r>
        <w:rPr>
          <w:highlight w:val="yellow"/>
        </w:rPr>
        <w:t>Prozessverantwortlichen (PV)</w:t>
      </w:r>
      <w:r>
        <w:rPr/>
        <w:t xml:space="preserve"> zu genehmigen.</w:t>
      </w:r>
    </w:p>
    <w:p>
      <w:pPr>
        <w:pStyle w:val="Normal"/>
        <w:rPr/>
      </w:pPr>
      <w:r>
        <w:rPr/>
        <w:t>Die Genehmigung beinhaltet die Prüfung auf:</w:t>
      </w:r>
    </w:p>
    <w:p>
      <w:pPr>
        <w:pStyle w:val="ListParagraph"/>
        <w:numPr>
          <w:ilvl w:val="0"/>
          <w:numId w:val="3"/>
        </w:numPr>
        <w:suppressAutoHyphens w:val="false"/>
        <w:spacing w:before="0" w:after="200"/>
        <w:contextualSpacing/>
        <w:rPr/>
      </w:pPr>
      <w:r>
        <w:rPr/>
        <w:t>Inhaltliche und sachliche Richtigkeit</w:t>
      </w:r>
    </w:p>
    <w:p>
      <w:pPr>
        <w:pStyle w:val="ListParagraph"/>
        <w:numPr>
          <w:ilvl w:val="0"/>
          <w:numId w:val="3"/>
        </w:numPr>
        <w:suppressAutoHyphens w:val="false"/>
        <w:spacing w:before="0" w:after="200"/>
        <w:contextualSpacing/>
        <w:rPr/>
      </w:pPr>
      <w:r>
        <w:rPr/>
        <w:t>Übereinstimmung mit den Forderungen der ISO 9001:2015</w:t>
      </w:r>
    </w:p>
    <w:p>
      <w:pPr>
        <w:pStyle w:val="ListParagraph"/>
        <w:numPr>
          <w:ilvl w:val="0"/>
          <w:numId w:val="3"/>
        </w:numPr>
        <w:suppressAutoHyphens w:val="false"/>
        <w:spacing w:before="0" w:after="200"/>
        <w:contextualSpacing/>
        <w:rPr/>
      </w:pPr>
      <w:r>
        <w:rPr/>
        <w:t>Übereinstimmung mit dem Regelwerk und den Kundenanforderungen.</w:t>
      </w:r>
    </w:p>
    <w:p>
      <w:pPr>
        <w:pStyle w:val="Berschrift2"/>
        <w:rPr/>
      </w:pPr>
      <w:bookmarkStart w:id="27" w:name="_Toc445113549"/>
      <w:bookmarkStart w:id="28" w:name="_Toc331491497"/>
      <w:r>
        <w:rPr/>
        <w:t>4.2.2 Arbeitsanweisungen</w:t>
      </w:r>
      <w:bookmarkEnd w:id="28"/>
      <w:r>
        <w:rPr/>
        <w:t xml:space="preserve"> (AA)</w:t>
      </w:r>
      <w:bookmarkEnd w:id="27"/>
    </w:p>
    <w:p>
      <w:pPr>
        <w:pStyle w:val="Normal"/>
        <w:rPr/>
      </w:pPr>
      <w:r>
        <w:rPr/>
        <w:t xml:space="preserve">AA enthalten detaillierte tätigkeits- und/ oder ablaufbezogene Regelungen. Sie werden entsprechend Vorlage erstellt und dienen der Reproduzierbarkeit von Organisationsabläufen, sowie der direkten Einweisung der Mitarbeiter. Arbeitsanweisungen sind vom QMB auf QM-Systemkonformität zu prüfen und durch den </w:t>
      </w:r>
      <w:r>
        <w:rPr>
          <w:highlight w:val="yellow"/>
        </w:rPr>
        <w:t>LIH</w:t>
      </w:r>
      <w:r>
        <w:rPr/>
        <w:t xml:space="preserve"> freizugeben.</w:t>
      </w:r>
    </w:p>
    <w:p>
      <w:pPr>
        <w:pStyle w:val="Normal"/>
        <w:rPr/>
      </w:pPr>
      <w:r>
        <w:rPr/>
      </w:r>
      <w:r>
        <w:br w:type="page"/>
      </w:r>
    </w:p>
    <w:p>
      <w:pPr>
        <w:pStyle w:val="Normal"/>
        <w:rPr/>
      </w:pPr>
      <w:r>
        <w:rPr/>
      </w:r>
    </w:p>
    <w:tbl>
      <w:tblPr>
        <w:tblW w:w="8827" w:type="dxa"/>
        <w:jc w:val="center"/>
        <w:tblInd w:w="0" w:type="dxa"/>
        <w:tblLayout w:type="fixed"/>
        <w:tblCellMar>
          <w:top w:w="0" w:type="dxa"/>
          <w:left w:w="70" w:type="dxa"/>
          <w:bottom w:w="0" w:type="dxa"/>
          <w:right w:w="70" w:type="dxa"/>
        </w:tblCellMar>
        <w:tblLook w:val="0000" w:noHBand="0" w:noVBand="0" w:firstColumn="0" w:lastRow="0" w:lastColumn="0" w:firstRow="0"/>
      </w:tblPr>
      <w:tblGrid>
        <w:gridCol w:w="580"/>
        <w:gridCol w:w="5090"/>
        <w:gridCol w:w="1092"/>
        <w:gridCol w:w="2064"/>
      </w:tblGrid>
      <w:tr>
        <w:trPr>
          <w:tblHeader w:val="true"/>
          <w:trHeight w:val="680" w:hRule="atLeast"/>
          <w:cantSplit w:val="true"/>
        </w:trPr>
        <w:tc>
          <w:tcPr>
            <w:tcW w:w="580" w:type="dxa"/>
            <w:tcBorders>
              <w:top w:val="double" w:sz="2" w:space="0" w:color="000000"/>
              <w:left w:val="double" w:sz="2" w:space="0" w:color="000000"/>
              <w:bottom w:val="double" w:sz="2" w:space="0" w:color="000000"/>
            </w:tcBorders>
            <w:shd w:color="auto" w:fill="auto" w:val="clear"/>
            <w:vAlign w:val="center"/>
          </w:tcPr>
          <w:p>
            <w:pPr>
              <w:pStyle w:val="Normal"/>
              <w:widowControl w:val="false"/>
              <w:snapToGrid w:val="false"/>
              <w:spacing w:lineRule="auto" w:line="240" w:before="0" w:after="0"/>
              <w:jc w:val="center"/>
              <w:rPr>
                <w:b/>
                <w:b/>
              </w:rPr>
            </w:pPr>
            <w:r>
              <w:rPr>
                <w:b/>
              </w:rPr>
              <w:t>lfd. Nr.:</w:t>
            </w:r>
          </w:p>
        </w:tc>
        <w:tc>
          <w:tcPr>
            <w:tcW w:w="5090" w:type="dxa"/>
            <w:tcBorders>
              <w:top w:val="double" w:sz="2" w:space="0" w:color="000000"/>
              <w:left w:val="single" w:sz="4" w:space="0" w:color="000000"/>
              <w:bottom w:val="double" w:sz="2" w:space="0" w:color="000000"/>
            </w:tcBorders>
            <w:shd w:color="auto" w:fill="auto" w:val="clear"/>
            <w:vAlign w:val="center"/>
          </w:tcPr>
          <w:p>
            <w:pPr>
              <w:pStyle w:val="Normal"/>
              <w:widowControl w:val="false"/>
              <w:snapToGrid w:val="false"/>
              <w:spacing w:lineRule="auto" w:line="240" w:before="0" w:after="0"/>
              <w:jc w:val="center"/>
              <w:rPr>
                <w:b/>
                <w:b/>
              </w:rPr>
            </w:pPr>
            <w:r>
              <w:rPr>
                <w:b/>
              </w:rPr>
              <w:t>Beschreibung des Verfahrensablaufes und der auszuführenden Aktivitäten</w:t>
            </w:r>
          </w:p>
        </w:tc>
        <w:tc>
          <w:tcPr>
            <w:tcW w:w="1092" w:type="dxa"/>
            <w:tcBorders>
              <w:top w:val="double" w:sz="2" w:space="0" w:color="000000"/>
              <w:left w:val="single" w:sz="4" w:space="0" w:color="000000"/>
              <w:bottom w:val="double" w:sz="2" w:space="0" w:color="000000"/>
            </w:tcBorders>
            <w:shd w:color="auto" w:fill="auto" w:val="clear"/>
            <w:vAlign w:val="center"/>
          </w:tcPr>
          <w:p>
            <w:pPr>
              <w:pStyle w:val="Normal"/>
              <w:widowControl w:val="false"/>
              <w:snapToGrid w:val="false"/>
              <w:spacing w:lineRule="auto" w:line="240" w:before="0" w:after="0"/>
              <w:jc w:val="center"/>
              <w:rPr>
                <w:b/>
                <w:b/>
              </w:rPr>
            </w:pPr>
            <w:r>
              <w:rPr>
                <w:b/>
              </w:rPr>
              <w:t>Verant-wortlich</w:t>
            </w:r>
          </w:p>
        </w:tc>
        <w:tc>
          <w:tcPr>
            <w:tcW w:w="2064" w:type="dxa"/>
            <w:tcBorders>
              <w:top w:val="double" w:sz="2" w:space="0" w:color="000000"/>
              <w:left w:val="single" w:sz="4" w:space="0" w:color="000000"/>
              <w:bottom w:val="double" w:sz="2" w:space="0" w:color="000000"/>
              <w:right w:val="double" w:sz="2" w:space="0" w:color="000000"/>
            </w:tcBorders>
            <w:shd w:color="auto" w:fill="auto" w:val="clear"/>
            <w:vAlign w:val="center"/>
          </w:tcPr>
          <w:p>
            <w:pPr>
              <w:pStyle w:val="Normal"/>
              <w:widowControl w:val="false"/>
              <w:snapToGrid w:val="false"/>
              <w:spacing w:lineRule="auto" w:line="240" w:before="0" w:after="0"/>
              <w:jc w:val="center"/>
              <w:rPr>
                <w:b/>
                <w:b/>
              </w:rPr>
            </w:pPr>
            <w:r>
              <w:rPr>
                <w:b/>
              </w:rPr>
              <w:t>Anzuwendende Unterlagen</w:t>
            </w:r>
          </w:p>
        </w:tc>
      </w:tr>
      <w:tr>
        <w:trPr>
          <w:trHeight w:val="397" w:hRule="atLeast"/>
          <w:cantSplit w:val="true"/>
        </w:trPr>
        <w:tc>
          <w:tcPr>
            <w:tcW w:w="580" w:type="dxa"/>
            <w:tcBorders>
              <w:left w:val="double" w:sz="2" w:space="0" w:color="000000"/>
              <w:bottom w:val="single" w:sz="4" w:space="0" w:color="000000"/>
            </w:tcBorders>
            <w:shd w:color="auto" w:fill="auto" w:val="clear"/>
            <w:vAlign w:val="center"/>
          </w:tcPr>
          <w:p>
            <w:pPr>
              <w:pStyle w:val="Normal"/>
              <w:widowControl w:val="false"/>
              <w:snapToGrid w:val="false"/>
              <w:spacing w:before="0" w:after="0"/>
              <w:jc w:val="center"/>
              <w:rPr/>
            </w:pPr>
            <w:r>
              <w:rPr/>
              <w:t>1.</w:t>
            </w:r>
          </w:p>
        </w:tc>
        <w:tc>
          <w:tcPr>
            <w:tcW w:w="5090" w:type="dxa"/>
            <w:tcBorders>
              <w:left w:val="single" w:sz="4" w:space="0" w:color="000000"/>
              <w:bottom w:val="single" w:sz="4" w:space="0" w:color="000000"/>
            </w:tcBorders>
            <w:shd w:color="auto" w:fill="auto" w:val="clear"/>
            <w:vAlign w:val="center"/>
          </w:tcPr>
          <w:p>
            <w:pPr>
              <w:pStyle w:val="Normal"/>
              <w:widowControl w:val="false"/>
              <w:snapToGrid w:val="false"/>
              <w:spacing w:before="0" w:after="0"/>
              <w:jc w:val="left"/>
              <w:rPr/>
            </w:pPr>
            <w:r>
              <w:rPr/>
              <w:t>Erstellung notwendiger AA</w:t>
            </w:r>
          </w:p>
        </w:tc>
        <w:tc>
          <w:tcPr>
            <w:tcW w:w="1092" w:type="dxa"/>
            <w:tcBorders>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t>Ersteller</w:t>
            </w:r>
          </w:p>
        </w:tc>
        <w:tc>
          <w:tcPr>
            <w:tcW w:w="2064" w:type="dxa"/>
            <w:tcBorders>
              <w:left w:val="single" w:sz="4" w:space="0" w:color="000000"/>
              <w:bottom w:val="single" w:sz="4" w:space="0" w:color="000000"/>
              <w:right w:val="double" w:sz="2" w:space="0" w:color="000000"/>
            </w:tcBorders>
            <w:shd w:color="auto" w:fill="auto" w:val="clear"/>
            <w:vAlign w:val="center"/>
          </w:tcPr>
          <w:p>
            <w:pPr>
              <w:pStyle w:val="Normal"/>
              <w:widowControl w:val="false"/>
              <w:snapToGrid w:val="false"/>
              <w:spacing w:before="0" w:after="0"/>
              <w:jc w:val="center"/>
              <w:rPr/>
            </w:pPr>
            <w:r>
              <w:rPr/>
            </w:r>
          </w:p>
        </w:tc>
      </w:tr>
      <w:tr>
        <w:trPr>
          <w:trHeight w:val="397" w:hRule="atLeast"/>
          <w:cantSplit w:val="true"/>
        </w:trPr>
        <w:tc>
          <w:tcPr>
            <w:tcW w:w="580" w:type="dxa"/>
            <w:tcBorders>
              <w:top w:val="single" w:sz="4" w:space="0" w:color="000000"/>
              <w:left w:val="double" w:sz="2" w:space="0" w:color="000000"/>
              <w:bottom w:val="single" w:sz="4" w:space="0" w:color="000000"/>
            </w:tcBorders>
            <w:shd w:color="auto" w:fill="auto" w:val="clear"/>
            <w:vAlign w:val="center"/>
          </w:tcPr>
          <w:p>
            <w:pPr>
              <w:pStyle w:val="Normal"/>
              <w:widowControl w:val="false"/>
              <w:snapToGrid w:val="false"/>
              <w:spacing w:before="0" w:after="0"/>
              <w:jc w:val="center"/>
              <w:rPr/>
            </w:pPr>
            <w:r>
              <w:rPr/>
              <w:t>2.</w:t>
            </w:r>
          </w:p>
        </w:tc>
        <w:tc>
          <w:tcPr>
            <w:tcW w:w="5090"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left"/>
              <w:rPr/>
            </w:pPr>
            <w:r>
              <w:rPr/>
              <w:t>Prüfung der AA auf fachspezifische Belange</w:t>
            </w:r>
          </w:p>
        </w:tc>
        <w:tc>
          <w:tcPr>
            <w:tcW w:w="1092"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t>LIH/QMB</w:t>
            </w:r>
          </w:p>
        </w:tc>
        <w:tc>
          <w:tcPr>
            <w:tcW w:w="2064" w:type="dxa"/>
            <w:tcBorders>
              <w:top w:val="single" w:sz="4" w:space="0" w:color="000000"/>
              <w:left w:val="single" w:sz="4" w:space="0" w:color="000000"/>
              <w:bottom w:val="single" w:sz="4" w:space="0" w:color="000000"/>
              <w:right w:val="double" w:sz="2" w:space="0" w:color="000000"/>
            </w:tcBorders>
            <w:shd w:color="auto" w:fill="auto" w:val="clear"/>
            <w:vAlign w:val="center"/>
          </w:tcPr>
          <w:p>
            <w:pPr>
              <w:pStyle w:val="Normal"/>
              <w:widowControl w:val="false"/>
              <w:snapToGrid w:val="false"/>
              <w:spacing w:before="0" w:after="0"/>
              <w:jc w:val="center"/>
              <w:rPr/>
            </w:pPr>
            <w:r>
              <w:rPr/>
            </w:r>
          </w:p>
        </w:tc>
      </w:tr>
      <w:tr>
        <w:trPr>
          <w:trHeight w:val="397" w:hRule="atLeast"/>
          <w:cantSplit w:val="true"/>
        </w:trPr>
        <w:tc>
          <w:tcPr>
            <w:tcW w:w="580" w:type="dxa"/>
            <w:tcBorders>
              <w:top w:val="single" w:sz="4" w:space="0" w:color="000000"/>
              <w:left w:val="double" w:sz="2" w:space="0" w:color="000000"/>
              <w:bottom w:val="single" w:sz="4" w:space="0" w:color="000000"/>
            </w:tcBorders>
            <w:shd w:color="auto" w:fill="auto" w:val="clear"/>
            <w:vAlign w:val="center"/>
          </w:tcPr>
          <w:p>
            <w:pPr>
              <w:pStyle w:val="Normal"/>
              <w:widowControl w:val="false"/>
              <w:snapToGrid w:val="false"/>
              <w:spacing w:before="0" w:after="0"/>
              <w:jc w:val="center"/>
              <w:rPr/>
            </w:pPr>
            <w:r>
              <w:rPr/>
              <w:t>3.</w:t>
            </w:r>
          </w:p>
        </w:tc>
        <w:tc>
          <w:tcPr>
            <w:tcW w:w="5090"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left"/>
              <w:rPr/>
            </w:pPr>
            <w:r>
              <w:rPr/>
              <w:t>Genehmigung der AA</w:t>
            </w:r>
          </w:p>
        </w:tc>
        <w:tc>
          <w:tcPr>
            <w:tcW w:w="1092"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t>LIH</w:t>
            </w:r>
          </w:p>
        </w:tc>
        <w:tc>
          <w:tcPr>
            <w:tcW w:w="2064" w:type="dxa"/>
            <w:tcBorders>
              <w:top w:val="single" w:sz="4" w:space="0" w:color="000000"/>
              <w:left w:val="single" w:sz="4" w:space="0" w:color="000000"/>
              <w:bottom w:val="single" w:sz="4" w:space="0" w:color="000000"/>
              <w:right w:val="double" w:sz="2" w:space="0" w:color="000000"/>
            </w:tcBorders>
            <w:shd w:color="auto" w:fill="auto" w:val="clear"/>
            <w:vAlign w:val="center"/>
          </w:tcPr>
          <w:p>
            <w:pPr>
              <w:pStyle w:val="Normal"/>
              <w:widowControl w:val="false"/>
              <w:snapToGrid w:val="false"/>
              <w:spacing w:before="0" w:after="0"/>
              <w:jc w:val="center"/>
              <w:rPr/>
            </w:pPr>
            <w:r>
              <w:rPr/>
            </w:r>
          </w:p>
        </w:tc>
      </w:tr>
      <w:tr>
        <w:trPr>
          <w:trHeight w:val="397" w:hRule="atLeast"/>
          <w:cantSplit w:val="true"/>
        </w:trPr>
        <w:tc>
          <w:tcPr>
            <w:tcW w:w="580" w:type="dxa"/>
            <w:tcBorders>
              <w:top w:val="single" w:sz="4" w:space="0" w:color="000000"/>
              <w:left w:val="double" w:sz="2" w:space="0" w:color="000000"/>
              <w:bottom w:val="single" w:sz="4" w:space="0" w:color="000000"/>
            </w:tcBorders>
            <w:shd w:color="auto" w:fill="auto" w:val="clear"/>
            <w:vAlign w:val="center"/>
          </w:tcPr>
          <w:p>
            <w:pPr>
              <w:pStyle w:val="Normal"/>
              <w:widowControl w:val="false"/>
              <w:snapToGrid w:val="false"/>
              <w:spacing w:before="0" w:after="0"/>
              <w:jc w:val="center"/>
              <w:rPr/>
            </w:pPr>
            <w:r>
              <w:rPr/>
              <w:t>4.</w:t>
            </w:r>
          </w:p>
        </w:tc>
        <w:tc>
          <w:tcPr>
            <w:tcW w:w="5090"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left"/>
              <w:rPr/>
            </w:pPr>
            <w:r>
              <w:rPr/>
              <w:t>Nummerierung der AA</w:t>
            </w:r>
          </w:p>
        </w:tc>
        <w:tc>
          <w:tcPr>
            <w:tcW w:w="1092"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t>QMB</w:t>
            </w:r>
          </w:p>
        </w:tc>
        <w:tc>
          <w:tcPr>
            <w:tcW w:w="2064" w:type="dxa"/>
            <w:tcBorders>
              <w:top w:val="single" w:sz="4" w:space="0" w:color="000000"/>
              <w:left w:val="single" w:sz="4" w:space="0" w:color="000000"/>
              <w:bottom w:val="single" w:sz="4" w:space="0" w:color="000000"/>
              <w:right w:val="double" w:sz="2" w:space="0" w:color="000000"/>
            </w:tcBorders>
            <w:shd w:color="auto" w:fill="auto" w:val="clear"/>
            <w:vAlign w:val="center"/>
          </w:tcPr>
          <w:p>
            <w:pPr>
              <w:pStyle w:val="Normal"/>
              <w:widowControl w:val="false"/>
              <w:snapToGrid w:val="false"/>
              <w:spacing w:before="0" w:after="0"/>
              <w:jc w:val="center"/>
              <w:rPr/>
            </w:pPr>
            <w:r>
              <w:rPr/>
            </w:r>
          </w:p>
        </w:tc>
      </w:tr>
      <w:tr>
        <w:trPr>
          <w:trHeight w:val="397" w:hRule="atLeast"/>
          <w:cantSplit w:val="true"/>
        </w:trPr>
        <w:tc>
          <w:tcPr>
            <w:tcW w:w="580" w:type="dxa"/>
            <w:tcBorders>
              <w:top w:val="single" w:sz="4" w:space="0" w:color="000000"/>
              <w:left w:val="double" w:sz="2" w:space="0" w:color="000000"/>
              <w:bottom w:val="double" w:sz="2" w:space="0" w:color="000000"/>
            </w:tcBorders>
            <w:shd w:color="auto" w:fill="auto" w:val="clear"/>
            <w:vAlign w:val="center"/>
          </w:tcPr>
          <w:p>
            <w:pPr>
              <w:pStyle w:val="Normal"/>
              <w:widowControl w:val="false"/>
              <w:snapToGrid w:val="false"/>
              <w:spacing w:before="0" w:after="0"/>
              <w:jc w:val="center"/>
              <w:rPr/>
            </w:pPr>
            <w:r>
              <w:rPr/>
              <w:t>5.</w:t>
            </w:r>
          </w:p>
        </w:tc>
        <w:tc>
          <w:tcPr>
            <w:tcW w:w="5090" w:type="dxa"/>
            <w:tcBorders>
              <w:top w:val="single" w:sz="4" w:space="0" w:color="000000"/>
              <w:left w:val="single" w:sz="4" w:space="0" w:color="000000"/>
              <w:bottom w:val="double" w:sz="2" w:space="0" w:color="000000"/>
            </w:tcBorders>
            <w:shd w:color="auto" w:fill="auto" w:val="clear"/>
            <w:vAlign w:val="center"/>
          </w:tcPr>
          <w:p>
            <w:pPr>
              <w:pStyle w:val="Normal"/>
              <w:widowControl w:val="false"/>
              <w:snapToGrid w:val="false"/>
              <w:spacing w:before="0" w:after="0"/>
              <w:jc w:val="left"/>
              <w:rPr/>
            </w:pPr>
            <w:r>
              <w:rPr/>
              <w:t>Kontrollierte Verteilung und Verwaltung von AA</w:t>
            </w:r>
          </w:p>
        </w:tc>
        <w:tc>
          <w:tcPr>
            <w:tcW w:w="1092" w:type="dxa"/>
            <w:tcBorders>
              <w:top w:val="single" w:sz="4" w:space="0" w:color="000000"/>
              <w:left w:val="single" w:sz="4" w:space="0" w:color="000000"/>
              <w:bottom w:val="double" w:sz="2" w:space="0" w:color="000000"/>
            </w:tcBorders>
            <w:shd w:color="auto" w:fill="auto" w:val="clear"/>
            <w:vAlign w:val="center"/>
          </w:tcPr>
          <w:p>
            <w:pPr>
              <w:pStyle w:val="Normal"/>
              <w:widowControl w:val="false"/>
              <w:snapToGrid w:val="false"/>
              <w:spacing w:before="0" w:after="0"/>
              <w:jc w:val="center"/>
              <w:rPr/>
            </w:pPr>
            <w:r>
              <w:rPr/>
              <w:t>QMB</w:t>
            </w:r>
          </w:p>
        </w:tc>
        <w:tc>
          <w:tcPr>
            <w:tcW w:w="2064" w:type="dxa"/>
            <w:tcBorders>
              <w:top w:val="single" w:sz="4" w:space="0" w:color="000000"/>
              <w:left w:val="single" w:sz="4" w:space="0" w:color="000000"/>
              <w:bottom w:val="double" w:sz="2" w:space="0" w:color="000000"/>
              <w:right w:val="double" w:sz="2" w:space="0" w:color="000000"/>
            </w:tcBorders>
            <w:shd w:color="auto" w:fill="auto" w:val="clear"/>
            <w:vAlign w:val="center"/>
          </w:tcPr>
          <w:p>
            <w:pPr>
              <w:pStyle w:val="Normal"/>
              <w:widowControl w:val="false"/>
              <w:snapToGrid w:val="false"/>
              <w:spacing w:before="0" w:after="0"/>
              <w:jc w:val="center"/>
              <w:rPr/>
            </w:pPr>
            <w:r>
              <w:rPr/>
              <w:t>Revisionsübersicht</w:t>
            </w:r>
          </w:p>
        </w:tc>
      </w:tr>
    </w:tbl>
    <w:p>
      <w:pPr>
        <w:pStyle w:val="Berschrift2"/>
        <w:rPr/>
      </w:pPr>
      <w:bookmarkStart w:id="29" w:name="_Toc445113550"/>
      <w:bookmarkStart w:id="30" w:name="_Toc331491498"/>
      <w:r>
        <w:rPr/>
        <w:t>4.2.3 Technische Weisungen</w:t>
      </w:r>
      <w:bookmarkEnd w:id="30"/>
      <w:r>
        <w:rPr/>
        <w:t xml:space="preserve"> (TW)</w:t>
      </w:r>
      <w:bookmarkEnd w:id="29"/>
    </w:p>
    <w:p>
      <w:pPr>
        <w:pStyle w:val="Normal"/>
        <w:rPr/>
      </w:pPr>
      <w:r>
        <w:rPr/>
        <w:t>TW enthalten detaillierte Vorgaben für die Durchführung sicherheitsrelevanter Arbeiten an Schienenfahrzeugen und dienen der direkten Einweisung der Werker in die zu verrichtenden Tätigkeiten. Sie enthalten, neben der Beschreibung der Arbeit, Angaben über die einzusetzenden Werkzeuge und Verweisen auf zu beachtende Vorschriften, Anweisungen und Spezifikationen. Technische Weisungen werden vom Arbeitsverantwortlichen erstellt, gepflegt und kontrolliert verteilt. Sie sind vor Verteilung vom TL fachlich zu prüfen und freizugeben.</w:t>
      </w:r>
    </w:p>
    <w:p>
      <w:pPr>
        <w:pStyle w:val="Normal"/>
        <w:rPr/>
      </w:pPr>
      <w:r>
        <w:rPr/>
        <w:t xml:space="preserve">Zusätzlich zum Inhalt der AA werden in </w:t>
      </w:r>
      <w:r>
        <w:rPr>
          <w:b/>
        </w:rPr>
        <w:t>TW</w:t>
      </w:r>
      <w:r>
        <w:rPr/>
        <w:t xml:space="preserve"> festgelegt:</w:t>
      </w:r>
    </w:p>
    <w:p>
      <w:pPr>
        <w:pStyle w:val="ListParagraph"/>
        <w:numPr>
          <w:ilvl w:val="0"/>
          <w:numId w:val="5"/>
        </w:numPr>
        <w:suppressAutoHyphens w:val="false"/>
        <w:spacing w:before="0" w:after="200"/>
        <w:contextualSpacing/>
        <w:jc w:val="left"/>
        <w:rPr/>
      </w:pPr>
      <w:r>
        <w:rPr/>
        <w:t>Beurteilungskriterien qualitativer und/oder quantitativer Art</w:t>
      </w:r>
    </w:p>
    <w:p>
      <w:pPr>
        <w:pStyle w:val="ListParagraph"/>
        <w:numPr>
          <w:ilvl w:val="0"/>
          <w:numId w:val="5"/>
        </w:numPr>
        <w:suppressAutoHyphens w:val="false"/>
        <w:spacing w:before="0" w:after="200"/>
        <w:contextualSpacing/>
        <w:jc w:val="left"/>
        <w:rPr/>
      </w:pPr>
      <w:r>
        <w:rPr/>
        <w:t>einzuhaltende Vorschriften, Spezifikationen, Anweisungen</w:t>
      </w:r>
    </w:p>
    <w:p>
      <w:pPr>
        <w:pStyle w:val="ListParagraph"/>
        <w:numPr>
          <w:ilvl w:val="0"/>
          <w:numId w:val="5"/>
        </w:numPr>
        <w:suppressAutoHyphens w:val="false"/>
        <w:spacing w:before="0" w:after="200"/>
        <w:contextualSpacing/>
        <w:jc w:val="left"/>
        <w:rPr/>
      </w:pPr>
      <w:r>
        <w:rPr/>
        <w:t>einzusetzende Werkzeuge und Prüfmittel</w:t>
      </w:r>
    </w:p>
    <w:p>
      <w:pPr>
        <w:pStyle w:val="ListParagraph"/>
        <w:numPr>
          <w:ilvl w:val="0"/>
          <w:numId w:val="5"/>
        </w:numPr>
        <w:suppressAutoHyphens w:val="false"/>
        <w:spacing w:before="0" w:after="200"/>
        <w:contextualSpacing/>
        <w:jc w:val="left"/>
        <w:rPr/>
      </w:pPr>
      <w:r>
        <w:rPr/>
        <w:t>Maßnahmen für die Arbeitssicherheit</w:t>
      </w:r>
    </w:p>
    <w:p>
      <w:pPr>
        <w:pStyle w:val="ListParagraph"/>
        <w:numPr>
          <w:ilvl w:val="0"/>
          <w:numId w:val="5"/>
        </w:numPr>
        <w:suppressAutoHyphens w:val="false"/>
        <w:spacing w:before="0" w:after="200"/>
        <w:contextualSpacing/>
        <w:jc w:val="left"/>
        <w:rPr/>
      </w:pPr>
      <w:r>
        <w:rPr/>
        <w:t>durchzuführende Prüfungen und deren Nachweise</w:t>
      </w:r>
    </w:p>
    <w:p>
      <w:pPr>
        <w:pStyle w:val="ListParagraph"/>
        <w:numPr>
          <w:ilvl w:val="0"/>
          <w:numId w:val="5"/>
        </w:numPr>
        <w:suppressAutoHyphens w:val="false"/>
        <w:spacing w:before="0" w:after="200"/>
        <w:contextualSpacing/>
        <w:jc w:val="left"/>
        <w:rPr/>
      </w:pPr>
      <w:r>
        <w:rPr/>
        <w:t>Dokumente und Protokolle</w:t>
      </w:r>
    </w:p>
    <w:tbl>
      <w:tblPr>
        <w:tblW w:w="8841" w:type="dxa"/>
        <w:jc w:val="center"/>
        <w:tblInd w:w="0" w:type="dxa"/>
        <w:tblLayout w:type="fixed"/>
        <w:tblCellMar>
          <w:top w:w="0" w:type="dxa"/>
          <w:left w:w="70" w:type="dxa"/>
          <w:bottom w:w="0" w:type="dxa"/>
          <w:right w:w="70" w:type="dxa"/>
        </w:tblCellMar>
        <w:tblLook w:val="0000" w:noHBand="0" w:noVBand="0" w:firstColumn="0" w:lastRow="0" w:lastColumn="0" w:firstRow="0"/>
      </w:tblPr>
      <w:tblGrid>
        <w:gridCol w:w="580"/>
        <w:gridCol w:w="5000"/>
        <w:gridCol w:w="1170"/>
        <w:gridCol w:w="2090"/>
      </w:tblGrid>
      <w:tr>
        <w:trPr>
          <w:tblHeader w:val="true"/>
          <w:cantSplit w:val="true"/>
        </w:trPr>
        <w:tc>
          <w:tcPr>
            <w:tcW w:w="580" w:type="dxa"/>
            <w:tcBorders>
              <w:top w:val="double" w:sz="2" w:space="0" w:color="000000"/>
              <w:left w:val="double" w:sz="2" w:space="0" w:color="000000"/>
              <w:bottom w:val="double" w:sz="2" w:space="0" w:color="000000"/>
            </w:tcBorders>
            <w:shd w:color="auto" w:fill="auto" w:val="clear"/>
          </w:tcPr>
          <w:p>
            <w:pPr>
              <w:pStyle w:val="Normal"/>
              <w:widowControl w:val="false"/>
              <w:snapToGrid w:val="false"/>
              <w:spacing w:lineRule="auto" w:line="240" w:before="0" w:after="0"/>
              <w:jc w:val="center"/>
              <w:rPr>
                <w:b/>
                <w:b/>
              </w:rPr>
            </w:pPr>
            <w:r>
              <w:rPr>
                <w:b/>
              </w:rPr>
              <w:t>lfd. Nr.:</w:t>
            </w:r>
          </w:p>
        </w:tc>
        <w:tc>
          <w:tcPr>
            <w:tcW w:w="5000" w:type="dxa"/>
            <w:tcBorders>
              <w:top w:val="double" w:sz="2" w:space="0" w:color="000000"/>
              <w:left w:val="single" w:sz="4" w:space="0" w:color="000000"/>
              <w:bottom w:val="double" w:sz="2" w:space="0" w:color="000000"/>
            </w:tcBorders>
            <w:shd w:color="auto" w:fill="auto" w:val="clear"/>
          </w:tcPr>
          <w:p>
            <w:pPr>
              <w:pStyle w:val="Normal"/>
              <w:widowControl w:val="false"/>
              <w:snapToGrid w:val="false"/>
              <w:spacing w:lineRule="auto" w:line="240" w:before="0" w:after="0"/>
              <w:jc w:val="center"/>
              <w:rPr>
                <w:b/>
                <w:b/>
              </w:rPr>
            </w:pPr>
            <w:r>
              <w:rPr>
                <w:b/>
              </w:rPr>
              <w:t>Beschreibung des Verfahrensablaufes und der auszuführenden Aktivitäten</w:t>
            </w:r>
          </w:p>
        </w:tc>
        <w:tc>
          <w:tcPr>
            <w:tcW w:w="1170" w:type="dxa"/>
            <w:tcBorders>
              <w:top w:val="double" w:sz="2" w:space="0" w:color="000000"/>
              <w:left w:val="single" w:sz="4" w:space="0" w:color="000000"/>
              <w:bottom w:val="double" w:sz="2" w:space="0" w:color="000000"/>
            </w:tcBorders>
            <w:shd w:color="auto" w:fill="auto" w:val="clear"/>
          </w:tcPr>
          <w:p>
            <w:pPr>
              <w:pStyle w:val="Normal"/>
              <w:widowControl w:val="false"/>
              <w:snapToGrid w:val="false"/>
              <w:spacing w:lineRule="auto" w:line="240" w:before="0" w:after="0"/>
              <w:jc w:val="center"/>
              <w:rPr>
                <w:b/>
                <w:b/>
              </w:rPr>
            </w:pPr>
            <w:r>
              <w:rPr>
                <w:b/>
              </w:rPr>
              <w:t>Verant-wortlich</w:t>
            </w:r>
          </w:p>
        </w:tc>
        <w:tc>
          <w:tcPr>
            <w:tcW w:w="2090" w:type="dxa"/>
            <w:tcBorders>
              <w:top w:val="double" w:sz="2" w:space="0" w:color="000000"/>
              <w:left w:val="single" w:sz="4" w:space="0" w:color="000000"/>
              <w:bottom w:val="double" w:sz="2" w:space="0" w:color="000000"/>
              <w:right w:val="double" w:sz="2" w:space="0" w:color="000000"/>
            </w:tcBorders>
            <w:shd w:color="auto" w:fill="auto" w:val="clear"/>
          </w:tcPr>
          <w:p>
            <w:pPr>
              <w:pStyle w:val="Normal"/>
              <w:widowControl w:val="false"/>
              <w:snapToGrid w:val="false"/>
              <w:spacing w:lineRule="auto" w:line="240" w:before="0" w:after="0"/>
              <w:jc w:val="center"/>
              <w:rPr>
                <w:b/>
                <w:b/>
              </w:rPr>
            </w:pPr>
            <w:r>
              <w:rPr>
                <w:b/>
              </w:rPr>
              <w:t>Anzuwendende Unterlagen</w:t>
            </w:r>
          </w:p>
        </w:tc>
      </w:tr>
      <w:tr>
        <w:trPr>
          <w:trHeight w:val="340" w:hRule="atLeast"/>
          <w:cantSplit w:val="true"/>
        </w:trPr>
        <w:tc>
          <w:tcPr>
            <w:tcW w:w="580" w:type="dxa"/>
            <w:tcBorders>
              <w:left w:val="double" w:sz="2" w:space="0" w:color="000000"/>
              <w:bottom w:val="single" w:sz="4" w:space="0" w:color="000000"/>
            </w:tcBorders>
            <w:shd w:color="auto" w:fill="auto" w:val="clear"/>
            <w:vAlign w:val="center"/>
          </w:tcPr>
          <w:p>
            <w:pPr>
              <w:pStyle w:val="Normal"/>
              <w:widowControl w:val="false"/>
              <w:snapToGrid w:val="false"/>
              <w:spacing w:before="0" w:after="0"/>
              <w:jc w:val="center"/>
              <w:rPr/>
            </w:pPr>
            <w:r>
              <w:rPr/>
              <w:t>1.</w:t>
            </w:r>
          </w:p>
        </w:tc>
        <w:tc>
          <w:tcPr>
            <w:tcW w:w="5000" w:type="dxa"/>
            <w:tcBorders>
              <w:left w:val="single" w:sz="4" w:space="0" w:color="000000"/>
              <w:bottom w:val="single" w:sz="4" w:space="0" w:color="000000"/>
            </w:tcBorders>
            <w:shd w:color="auto" w:fill="auto" w:val="clear"/>
            <w:vAlign w:val="center"/>
          </w:tcPr>
          <w:p>
            <w:pPr>
              <w:pStyle w:val="Normal"/>
              <w:widowControl w:val="false"/>
              <w:snapToGrid w:val="false"/>
              <w:spacing w:before="0" w:after="0"/>
              <w:jc w:val="left"/>
              <w:rPr/>
            </w:pPr>
            <w:r>
              <w:rPr/>
              <w:t>Erstellung notwendiger TW</w:t>
            </w:r>
          </w:p>
        </w:tc>
        <w:tc>
          <w:tcPr>
            <w:tcW w:w="1170" w:type="dxa"/>
            <w:tcBorders>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t>Ersteller</w:t>
            </w:r>
          </w:p>
        </w:tc>
        <w:tc>
          <w:tcPr>
            <w:tcW w:w="2090" w:type="dxa"/>
            <w:tcBorders>
              <w:left w:val="single" w:sz="4" w:space="0" w:color="000000"/>
              <w:bottom w:val="single" w:sz="4" w:space="0" w:color="000000"/>
              <w:right w:val="double" w:sz="2" w:space="0" w:color="000000"/>
            </w:tcBorders>
            <w:shd w:color="auto" w:fill="auto" w:val="clear"/>
            <w:vAlign w:val="center"/>
          </w:tcPr>
          <w:p>
            <w:pPr>
              <w:pStyle w:val="Normal"/>
              <w:widowControl w:val="false"/>
              <w:snapToGrid w:val="false"/>
              <w:spacing w:before="0" w:after="0"/>
              <w:jc w:val="center"/>
              <w:rPr/>
            </w:pPr>
            <w:r>
              <w:rPr/>
            </w:r>
          </w:p>
        </w:tc>
      </w:tr>
      <w:tr>
        <w:trPr>
          <w:trHeight w:val="340" w:hRule="atLeast"/>
          <w:cantSplit w:val="true"/>
        </w:trPr>
        <w:tc>
          <w:tcPr>
            <w:tcW w:w="580" w:type="dxa"/>
            <w:tcBorders>
              <w:top w:val="single" w:sz="4" w:space="0" w:color="000000"/>
              <w:left w:val="double" w:sz="2" w:space="0" w:color="000000"/>
              <w:bottom w:val="single" w:sz="4" w:space="0" w:color="000000"/>
            </w:tcBorders>
            <w:shd w:color="auto" w:fill="auto" w:val="clear"/>
            <w:vAlign w:val="center"/>
          </w:tcPr>
          <w:p>
            <w:pPr>
              <w:pStyle w:val="Normal"/>
              <w:widowControl w:val="false"/>
              <w:snapToGrid w:val="false"/>
              <w:spacing w:before="0" w:after="0"/>
              <w:jc w:val="center"/>
              <w:rPr/>
            </w:pPr>
            <w:r>
              <w:rPr/>
              <w:t>2.</w:t>
            </w:r>
          </w:p>
        </w:tc>
        <w:tc>
          <w:tcPr>
            <w:tcW w:w="5000"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left"/>
              <w:rPr/>
            </w:pPr>
            <w:r>
              <w:rPr/>
              <w:t>Prüfung auf fachspezifische Belange und Freigabe von TW</w:t>
            </w:r>
          </w:p>
        </w:tc>
        <w:tc>
          <w:tcPr>
            <w:tcW w:w="1170" w:type="dxa"/>
            <w:tcBorders>
              <w:top w:val="single" w:sz="4" w:space="0" w:color="000000"/>
              <w:left w:val="single" w:sz="4" w:space="0" w:color="000000"/>
              <w:bottom w:val="single" w:sz="4" w:space="0" w:color="000000"/>
            </w:tcBorders>
            <w:shd w:color="auto" w:fill="auto" w:val="clear"/>
            <w:vAlign w:val="center"/>
          </w:tcPr>
          <w:p>
            <w:pPr>
              <w:pStyle w:val="Normal"/>
              <w:widowControl w:val="false"/>
              <w:snapToGrid w:val="false"/>
              <w:spacing w:before="0" w:after="0"/>
              <w:jc w:val="center"/>
              <w:rPr/>
            </w:pPr>
            <w:r>
              <w:rPr>
                <w:highlight w:val="yellow"/>
              </w:rPr>
              <w:t>LIH</w:t>
            </w:r>
          </w:p>
        </w:tc>
        <w:tc>
          <w:tcPr>
            <w:tcW w:w="2090" w:type="dxa"/>
            <w:tcBorders>
              <w:top w:val="single" w:sz="4" w:space="0" w:color="000000"/>
              <w:left w:val="single" w:sz="4" w:space="0" w:color="000000"/>
              <w:bottom w:val="single" w:sz="4" w:space="0" w:color="000000"/>
              <w:right w:val="double" w:sz="2" w:space="0" w:color="000000"/>
            </w:tcBorders>
            <w:shd w:color="auto" w:fill="auto" w:val="clear"/>
            <w:vAlign w:val="center"/>
          </w:tcPr>
          <w:p>
            <w:pPr>
              <w:pStyle w:val="Normal"/>
              <w:widowControl w:val="false"/>
              <w:snapToGrid w:val="false"/>
              <w:spacing w:before="0" w:after="0"/>
              <w:jc w:val="center"/>
              <w:rPr/>
            </w:pPr>
            <w:r>
              <w:rPr/>
            </w:r>
          </w:p>
        </w:tc>
      </w:tr>
      <w:tr>
        <w:trPr>
          <w:trHeight w:val="340" w:hRule="atLeast"/>
          <w:cantSplit w:val="true"/>
        </w:trPr>
        <w:tc>
          <w:tcPr>
            <w:tcW w:w="580" w:type="dxa"/>
            <w:tcBorders>
              <w:top w:val="single" w:sz="4" w:space="0" w:color="000000"/>
              <w:left w:val="double" w:sz="2" w:space="0" w:color="000000"/>
              <w:bottom w:val="double" w:sz="2" w:space="0" w:color="000000"/>
            </w:tcBorders>
            <w:shd w:color="auto" w:fill="auto" w:val="clear"/>
            <w:vAlign w:val="center"/>
          </w:tcPr>
          <w:p>
            <w:pPr>
              <w:pStyle w:val="Normal"/>
              <w:widowControl w:val="false"/>
              <w:snapToGrid w:val="false"/>
              <w:spacing w:before="0" w:after="0"/>
              <w:jc w:val="center"/>
              <w:rPr/>
            </w:pPr>
            <w:r>
              <w:rPr/>
              <w:t>3.</w:t>
            </w:r>
          </w:p>
        </w:tc>
        <w:tc>
          <w:tcPr>
            <w:tcW w:w="5000" w:type="dxa"/>
            <w:tcBorders>
              <w:top w:val="single" w:sz="4" w:space="0" w:color="000000"/>
              <w:left w:val="single" w:sz="4" w:space="0" w:color="000000"/>
              <w:bottom w:val="double" w:sz="2" w:space="0" w:color="000000"/>
            </w:tcBorders>
            <w:shd w:color="auto" w:fill="auto" w:val="clear"/>
            <w:vAlign w:val="center"/>
          </w:tcPr>
          <w:p>
            <w:pPr>
              <w:pStyle w:val="Normal"/>
              <w:widowControl w:val="false"/>
              <w:snapToGrid w:val="false"/>
              <w:spacing w:before="0" w:after="0"/>
              <w:jc w:val="left"/>
              <w:rPr/>
            </w:pPr>
            <w:r>
              <w:rPr/>
              <w:t>Nummerierung der TW</w:t>
            </w:r>
          </w:p>
        </w:tc>
        <w:tc>
          <w:tcPr>
            <w:tcW w:w="1170" w:type="dxa"/>
            <w:tcBorders>
              <w:top w:val="single" w:sz="4" w:space="0" w:color="000000"/>
              <w:left w:val="single" w:sz="4" w:space="0" w:color="000000"/>
              <w:bottom w:val="double" w:sz="2" w:space="0" w:color="000000"/>
            </w:tcBorders>
            <w:shd w:color="auto" w:fill="auto" w:val="clear"/>
            <w:vAlign w:val="center"/>
          </w:tcPr>
          <w:p>
            <w:pPr>
              <w:pStyle w:val="Normal"/>
              <w:widowControl w:val="false"/>
              <w:snapToGrid w:val="false"/>
              <w:spacing w:before="0" w:after="0"/>
              <w:jc w:val="center"/>
              <w:rPr/>
            </w:pPr>
            <w:r>
              <w:rPr/>
              <w:t>QMB</w:t>
            </w:r>
          </w:p>
        </w:tc>
        <w:tc>
          <w:tcPr>
            <w:tcW w:w="2090" w:type="dxa"/>
            <w:tcBorders>
              <w:top w:val="single" w:sz="4" w:space="0" w:color="000000"/>
              <w:left w:val="single" w:sz="4" w:space="0" w:color="000000"/>
              <w:bottom w:val="double" w:sz="2" w:space="0" w:color="000000"/>
              <w:right w:val="double" w:sz="2" w:space="0" w:color="000000"/>
            </w:tcBorders>
            <w:shd w:color="auto" w:fill="auto" w:val="clear"/>
            <w:vAlign w:val="center"/>
          </w:tcPr>
          <w:p>
            <w:pPr>
              <w:pStyle w:val="Normal"/>
              <w:widowControl w:val="false"/>
              <w:spacing w:before="0" w:after="0"/>
              <w:jc w:val="center"/>
              <w:rPr/>
            </w:pPr>
            <w:r>
              <w:rPr/>
            </w:r>
          </w:p>
        </w:tc>
      </w:tr>
      <w:tr>
        <w:trPr>
          <w:trHeight w:val="340" w:hRule="atLeast"/>
          <w:cantSplit w:val="true"/>
        </w:trPr>
        <w:tc>
          <w:tcPr>
            <w:tcW w:w="580" w:type="dxa"/>
            <w:tcBorders>
              <w:top w:val="single" w:sz="4" w:space="0" w:color="000000"/>
              <w:left w:val="double" w:sz="2" w:space="0" w:color="000000"/>
              <w:bottom w:val="double" w:sz="2" w:space="0" w:color="000000"/>
            </w:tcBorders>
            <w:shd w:color="auto" w:fill="auto" w:val="clear"/>
            <w:vAlign w:val="center"/>
          </w:tcPr>
          <w:p>
            <w:pPr>
              <w:pStyle w:val="Normal"/>
              <w:widowControl w:val="false"/>
              <w:snapToGrid w:val="false"/>
              <w:spacing w:before="0" w:after="0"/>
              <w:jc w:val="center"/>
              <w:rPr/>
            </w:pPr>
            <w:r>
              <w:rPr/>
              <w:t>3.</w:t>
            </w:r>
          </w:p>
        </w:tc>
        <w:tc>
          <w:tcPr>
            <w:tcW w:w="5000" w:type="dxa"/>
            <w:tcBorders>
              <w:top w:val="single" w:sz="4" w:space="0" w:color="000000"/>
              <w:left w:val="single" w:sz="4" w:space="0" w:color="000000"/>
              <w:bottom w:val="double" w:sz="2" w:space="0" w:color="000000"/>
            </w:tcBorders>
            <w:shd w:color="auto" w:fill="auto" w:val="clear"/>
            <w:vAlign w:val="center"/>
          </w:tcPr>
          <w:p>
            <w:pPr>
              <w:pStyle w:val="Normal"/>
              <w:widowControl w:val="false"/>
              <w:snapToGrid w:val="false"/>
              <w:spacing w:before="0" w:after="0"/>
              <w:jc w:val="left"/>
              <w:rPr/>
            </w:pPr>
            <w:r>
              <w:rPr/>
              <w:t>Verwaltung, Pflege und kontrollierte Verteilung von TW</w:t>
            </w:r>
          </w:p>
        </w:tc>
        <w:tc>
          <w:tcPr>
            <w:tcW w:w="1170" w:type="dxa"/>
            <w:tcBorders>
              <w:top w:val="single" w:sz="4" w:space="0" w:color="000000"/>
              <w:left w:val="single" w:sz="4" w:space="0" w:color="000000"/>
              <w:bottom w:val="double" w:sz="2" w:space="0" w:color="000000"/>
            </w:tcBorders>
            <w:shd w:color="auto" w:fill="auto" w:val="clear"/>
            <w:vAlign w:val="center"/>
          </w:tcPr>
          <w:p>
            <w:pPr>
              <w:pStyle w:val="Normal"/>
              <w:widowControl w:val="false"/>
              <w:snapToGrid w:val="false"/>
              <w:spacing w:before="0" w:after="0"/>
              <w:jc w:val="center"/>
              <w:rPr/>
            </w:pPr>
            <w:r>
              <w:rPr/>
              <w:t>QMB /OM</w:t>
            </w:r>
          </w:p>
        </w:tc>
        <w:tc>
          <w:tcPr>
            <w:tcW w:w="2090" w:type="dxa"/>
            <w:tcBorders>
              <w:top w:val="single" w:sz="4" w:space="0" w:color="000000"/>
              <w:left w:val="single" w:sz="4" w:space="0" w:color="000000"/>
              <w:bottom w:val="double" w:sz="2" w:space="0" w:color="000000"/>
              <w:right w:val="double" w:sz="2" w:space="0" w:color="000000"/>
            </w:tcBorders>
            <w:shd w:color="auto" w:fill="auto" w:val="clear"/>
            <w:vAlign w:val="center"/>
          </w:tcPr>
          <w:p>
            <w:pPr>
              <w:pStyle w:val="Normal"/>
              <w:widowControl w:val="false"/>
              <w:spacing w:before="0" w:after="0"/>
              <w:jc w:val="center"/>
              <w:rPr/>
            </w:pPr>
            <w:r>
              <w:rPr/>
              <w:t>Revisionsübersicht</w:t>
            </w:r>
          </w:p>
        </w:tc>
      </w:tr>
    </w:tbl>
    <w:p>
      <w:pPr>
        <w:pStyle w:val="Normal"/>
        <w:spacing w:before="0" w:after="0"/>
        <w:rPr/>
      </w:pPr>
      <w:r>
        <w:rPr/>
      </w:r>
    </w:p>
    <w:p>
      <w:pPr>
        <w:pStyle w:val="Normal"/>
        <w:spacing w:before="0" w:after="0"/>
        <w:rPr>
          <w:rFonts w:ascii="Myriad Pro" w:hAnsi="Myriad Pro" w:eastAsia="" w:cs="" w:asciiTheme="majorHAnsi" w:cstheme="majorBidi" w:eastAsiaTheme="majorEastAsia" w:hAnsiTheme="majorHAnsi"/>
          <w:b/>
          <w:b/>
          <w:bCs/>
          <w:color w:val="1F497D" w:themeColor="text2"/>
          <w:sz w:val="28"/>
          <w:szCs w:val="28"/>
        </w:rPr>
      </w:pPr>
      <w:r>
        <w:rPr/>
        <w:t>Der LIH ist für die Erstellung von auftragsbezogenen Arbeitsunterlagen sowie deren Revision und Verteilung verantwortlich.</w:t>
      </w:r>
      <w:bookmarkStart w:id="31" w:name="_Toc282769748"/>
      <w:bookmarkStart w:id="32" w:name="_Toc415651026"/>
    </w:p>
    <w:p>
      <w:pPr>
        <w:pStyle w:val="Berschrift1"/>
        <w:spacing w:before="480" w:after="240"/>
        <w:rPr/>
      </w:pPr>
      <w:bookmarkStart w:id="33" w:name="_Toc445113551"/>
      <w:bookmarkStart w:id="34" w:name="_Toc331491499"/>
      <w:r>
        <w:rPr/>
        <w:t>4.3 Kennzeichnung und Speicherung dokumentierter Informationen</w:t>
      </w:r>
      <w:bookmarkEnd w:id="31"/>
      <w:bookmarkEnd w:id="32"/>
      <w:bookmarkEnd w:id="33"/>
      <w:bookmarkEnd w:id="34"/>
    </w:p>
    <w:p>
      <w:pPr>
        <w:pStyle w:val="Normal"/>
        <w:rPr/>
      </w:pPr>
      <w:r>
        <w:rPr/>
        <w:t>Alle Dokumente sind nach den nachfolgenden Regelungen zu kennzeichnen:</w:t>
      </w:r>
    </w:p>
    <w:p>
      <w:pPr>
        <w:pStyle w:val="Berschrift3"/>
        <w:rPr/>
      </w:pPr>
      <w:bookmarkStart w:id="35" w:name="_Toc445113552"/>
      <w:r>
        <w:rPr/>
        <w:t>4.3.1 Kennzeichnung</w:t>
      </w:r>
      <w:bookmarkEnd w:id="35"/>
    </w:p>
    <w:p>
      <w:pPr>
        <w:pStyle w:val="Normal"/>
        <w:rPr/>
      </w:pPr>
      <w:r>
        <w:rPr/>
        <w:t>Alle QM-Dokumente sind nach einem einheitlichen Schlüssel gekennzeichnet, s. Anlage.</w:t>
      </w:r>
    </w:p>
    <w:p>
      <w:pPr>
        <w:pStyle w:val="Normal"/>
        <w:rPr/>
      </w:pPr>
      <w:r>
        <w:rPr/>
        <w:t>Als Typen sind festgelegt</w:t>
      </w:r>
    </w:p>
    <w:tbl>
      <w:tblPr>
        <w:tblStyle w:val="Tabellenraster"/>
        <w:tblW w:w="6487"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3"/>
        <w:gridCol w:w="849"/>
        <w:gridCol w:w="4645"/>
      </w:tblGrid>
      <w:tr>
        <w:trPr/>
        <w:tc>
          <w:tcPr>
            <w:tcW w:w="993" w:type="dxa"/>
            <w:tcBorders>
              <w:top w:val="nil"/>
              <w:left w:val="nil"/>
              <w:bottom w:val="nil"/>
              <w:right w:val="nil"/>
            </w:tcBorders>
          </w:tcPr>
          <w:p>
            <w:pPr>
              <w:pStyle w:val="Normal"/>
              <w:widowControl/>
              <w:spacing w:lineRule="auto" w:line="240" w:before="0" w:after="0"/>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849" w:type="dxa"/>
            <w:tcBorders>
              <w:top w:val="nil"/>
              <w:left w:val="nil"/>
              <w:bottom w:val="nil"/>
              <w:right w:val="nil"/>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QMH</w:t>
            </w:r>
          </w:p>
        </w:tc>
        <w:tc>
          <w:tcPr>
            <w:tcW w:w="4645" w:type="dxa"/>
            <w:tcBorders>
              <w:top w:val="nil"/>
              <w:left w:val="nil"/>
              <w:bottom w:val="nil"/>
              <w:right w:val="nil"/>
            </w:tcBorders>
          </w:tcPr>
          <w:p>
            <w:pPr>
              <w:pStyle w:val="Normal"/>
              <w:widowControl/>
              <w:spacing w:lineRule="auto" w:line="240" w:before="0" w:after="0"/>
              <w:rPr>
                <w:rFonts w:ascii="Myriad Pro" w:hAnsi="Myriad Pro" w:eastAsia="" w:cs=""/>
                <w:kern w:val="0"/>
                <w:sz w:val="22"/>
                <w:szCs w:val="22"/>
                <w:lang w:val="de-DE" w:eastAsia="de-DE" w:bidi="ar-SA"/>
              </w:rPr>
            </w:pPr>
            <w:r>
              <w:rPr>
                <w:rFonts w:eastAsia="" w:cs=""/>
                <w:kern w:val="0"/>
                <w:sz w:val="22"/>
                <w:szCs w:val="22"/>
                <w:lang w:val="de-DE" w:eastAsia="de-DE" w:bidi="ar-SA"/>
              </w:rPr>
              <w:t>Dokumente, des QMH</w:t>
            </w:r>
          </w:p>
        </w:tc>
      </w:tr>
      <w:tr>
        <w:trPr/>
        <w:tc>
          <w:tcPr>
            <w:tcW w:w="993"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849" w:type="dxa"/>
            <w:tcBorders>
              <w:top w:val="nil"/>
              <w:left w:val="nil"/>
              <w:bottom w:val="nil"/>
              <w:right w:val="nil"/>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VA</w:t>
            </w:r>
          </w:p>
        </w:tc>
        <w:tc>
          <w:tcPr>
            <w:tcW w:w="4645" w:type="dxa"/>
            <w:tcBorders>
              <w:top w:val="nil"/>
              <w:left w:val="nil"/>
              <w:bottom w:val="nil"/>
              <w:right w:val="nil"/>
            </w:tcBorders>
          </w:tcPr>
          <w:p>
            <w:pPr>
              <w:pStyle w:val="Normal"/>
              <w:widowControl/>
              <w:spacing w:lineRule="auto" w:line="240" w:before="0" w:after="0"/>
              <w:rPr>
                <w:rFonts w:ascii="Myriad Pro" w:hAnsi="Myriad Pro" w:eastAsia="" w:cs=""/>
                <w:kern w:val="0"/>
                <w:sz w:val="22"/>
                <w:szCs w:val="22"/>
                <w:lang w:val="de-DE" w:eastAsia="de-DE" w:bidi="ar-SA"/>
              </w:rPr>
            </w:pPr>
            <w:r>
              <w:rPr>
                <w:rFonts w:eastAsia="" w:cs=""/>
                <w:kern w:val="0"/>
                <w:sz w:val="22"/>
                <w:szCs w:val="22"/>
                <w:lang w:val="de-DE" w:eastAsia="de-DE" w:bidi="ar-SA"/>
              </w:rPr>
              <w:t>Verfahrensanweisung</w:t>
            </w:r>
          </w:p>
        </w:tc>
      </w:tr>
      <w:tr>
        <w:trPr/>
        <w:tc>
          <w:tcPr>
            <w:tcW w:w="993"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849" w:type="dxa"/>
            <w:tcBorders>
              <w:top w:val="nil"/>
              <w:left w:val="nil"/>
              <w:bottom w:val="nil"/>
              <w:right w:val="nil"/>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A</w:t>
            </w:r>
          </w:p>
        </w:tc>
        <w:tc>
          <w:tcPr>
            <w:tcW w:w="4645" w:type="dxa"/>
            <w:tcBorders>
              <w:top w:val="nil"/>
              <w:left w:val="nil"/>
              <w:bottom w:val="nil"/>
              <w:right w:val="nil"/>
            </w:tcBorders>
          </w:tcPr>
          <w:p>
            <w:pPr>
              <w:pStyle w:val="Normal"/>
              <w:widowControl/>
              <w:spacing w:lineRule="auto" w:line="240" w:before="0" w:after="0"/>
              <w:rPr>
                <w:rFonts w:ascii="Myriad Pro" w:hAnsi="Myriad Pro" w:eastAsia="" w:cs=""/>
                <w:kern w:val="0"/>
                <w:sz w:val="22"/>
                <w:szCs w:val="22"/>
                <w:lang w:val="de-DE" w:eastAsia="de-DE" w:bidi="ar-SA"/>
              </w:rPr>
            </w:pPr>
            <w:r>
              <w:rPr>
                <w:rFonts w:eastAsia="" w:cs=""/>
                <w:kern w:val="0"/>
                <w:sz w:val="22"/>
                <w:szCs w:val="22"/>
                <w:lang w:val="de-DE" w:eastAsia="de-DE" w:bidi="ar-SA"/>
              </w:rPr>
              <w:t>Anlage</w:t>
            </w:r>
          </w:p>
        </w:tc>
      </w:tr>
      <w:tr>
        <w:trPr/>
        <w:tc>
          <w:tcPr>
            <w:tcW w:w="993"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849" w:type="dxa"/>
            <w:tcBorders>
              <w:top w:val="nil"/>
              <w:left w:val="nil"/>
              <w:bottom w:val="nil"/>
              <w:right w:val="nil"/>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FB</w:t>
            </w:r>
          </w:p>
        </w:tc>
        <w:tc>
          <w:tcPr>
            <w:tcW w:w="4645" w:type="dxa"/>
            <w:tcBorders>
              <w:top w:val="nil"/>
              <w:left w:val="nil"/>
              <w:bottom w:val="nil"/>
              <w:right w:val="nil"/>
            </w:tcBorders>
          </w:tcPr>
          <w:p>
            <w:pPr>
              <w:pStyle w:val="Normal"/>
              <w:widowControl/>
              <w:spacing w:lineRule="auto" w:line="240" w:before="0" w:after="0"/>
              <w:rPr>
                <w:rFonts w:ascii="Myriad Pro" w:hAnsi="Myriad Pro" w:eastAsia="" w:cs=""/>
                <w:kern w:val="0"/>
                <w:sz w:val="22"/>
                <w:szCs w:val="22"/>
                <w:lang w:val="de-DE" w:eastAsia="de-DE" w:bidi="ar-SA"/>
              </w:rPr>
            </w:pPr>
            <w:r>
              <w:rPr>
                <w:rFonts w:eastAsia="" w:cs=""/>
                <w:kern w:val="0"/>
                <w:sz w:val="22"/>
                <w:szCs w:val="22"/>
                <w:lang w:val="de-DE" w:eastAsia="de-DE" w:bidi="ar-SA"/>
              </w:rPr>
              <w:t>Formblatt</w:t>
            </w:r>
          </w:p>
        </w:tc>
      </w:tr>
      <w:tr>
        <w:trPr/>
        <w:tc>
          <w:tcPr>
            <w:tcW w:w="993"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849" w:type="dxa"/>
            <w:tcBorders>
              <w:top w:val="nil"/>
              <w:left w:val="nil"/>
              <w:bottom w:val="nil"/>
              <w:right w:val="nil"/>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PD</w:t>
            </w:r>
          </w:p>
        </w:tc>
        <w:tc>
          <w:tcPr>
            <w:tcW w:w="4645" w:type="dxa"/>
            <w:tcBorders>
              <w:top w:val="nil"/>
              <w:left w:val="nil"/>
              <w:bottom w:val="nil"/>
              <w:right w:val="nil"/>
            </w:tcBorders>
          </w:tcPr>
          <w:p>
            <w:pPr>
              <w:pStyle w:val="Normal"/>
              <w:widowControl/>
              <w:spacing w:lineRule="auto" w:line="240" w:before="0" w:after="0"/>
              <w:rPr>
                <w:rFonts w:ascii="Myriad Pro" w:hAnsi="Myriad Pro" w:eastAsia="" w:cs=""/>
                <w:kern w:val="0"/>
                <w:sz w:val="22"/>
                <w:szCs w:val="22"/>
                <w:lang w:val="de-DE" w:eastAsia="de-DE" w:bidi="ar-SA"/>
              </w:rPr>
            </w:pPr>
            <w:r>
              <w:rPr>
                <w:rFonts w:eastAsia="" w:cs=""/>
                <w:kern w:val="0"/>
                <w:sz w:val="22"/>
                <w:szCs w:val="22"/>
                <w:lang w:val="de-DE" w:eastAsia="de-DE" w:bidi="ar-SA"/>
              </w:rPr>
              <w:t>Prozessdarstellung</w:t>
            </w:r>
          </w:p>
        </w:tc>
      </w:tr>
      <w:tr>
        <w:trPr/>
        <w:tc>
          <w:tcPr>
            <w:tcW w:w="993"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849" w:type="dxa"/>
            <w:tcBorders>
              <w:top w:val="nil"/>
              <w:left w:val="nil"/>
              <w:bottom w:val="nil"/>
              <w:right w:val="nil"/>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AA</w:t>
            </w:r>
          </w:p>
        </w:tc>
        <w:tc>
          <w:tcPr>
            <w:tcW w:w="4645" w:type="dxa"/>
            <w:tcBorders>
              <w:top w:val="nil"/>
              <w:left w:val="nil"/>
              <w:bottom w:val="nil"/>
              <w:right w:val="nil"/>
            </w:tcBorders>
          </w:tcPr>
          <w:p>
            <w:pPr>
              <w:pStyle w:val="Normal"/>
              <w:widowControl/>
              <w:spacing w:lineRule="auto" w:line="240" w:before="0" w:after="0"/>
              <w:rPr>
                <w:rFonts w:ascii="Myriad Pro" w:hAnsi="Myriad Pro" w:eastAsia="" w:cs=""/>
                <w:kern w:val="0"/>
                <w:sz w:val="22"/>
                <w:szCs w:val="22"/>
                <w:lang w:val="de-DE" w:eastAsia="de-DE" w:bidi="ar-SA"/>
              </w:rPr>
            </w:pPr>
            <w:r>
              <w:rPr>
                <w:rFonts w:eastAsia="" w:cs=""/>
                <w:kern w:val="0"/>
                <w:sz w:val="22"/>
                <w:szCs w:val="22"/>
                <w:lang w:val="de-DE" w:eastAsia="de-DE" w:bidi="ar-SA"/>
              </w:rPr>
              <w:t>Arbeitsanweisung    (ohne VA-NR)</w:t>
            </w:r>
          </w:p>
        </w:tc>
      </w:tr>
      <w:tr>
        <w:trPr/>
        <w:tc>
          <w:tcPr>
            <w:tcW w:w="993"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849" w:type="dxa"/>
            <w:tcBorders>
              <w:top w:val="nil"/>
              <w:left w:val="nil"/>
              <w:bottom w:val="nil"/>
              <w:right w:val="nil"/>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TW</w:t>
            </w:r>
          </w:p>
        </w:tc>
        <w:tc>
          <w:tcPr>
            <w:tcW w:w="4645" w:type="dxa"/>
            <w:tcBorders>
              <w:top w:val="nil"/>
              <w:left w:val="nil"/>
              <w:bottom w:val="nil"/>
              <w:right w:val="nil"/>
            </w:tcBorders>
          </w:tcPr>
          <w:p>
            <w:pPr>
              <w:pStyle w:val="Normal"/>
              <w:widowControl/>
              <w:spacing w:lineRule="auto" w:line="240" w:before="0" w:after="0"/>
              <w:rPr>
                <w:rFonts w:ascii="Myriad Pro" w:hAnsi="Myriad Pro" w:eastAsia="" w:cs=""/>
                <w:kern w:val="0"/>
                <w:sz w:val="22"/>
                <w:szCs w:val="22"/>
                <w:lang w:val="de-DE" w:eastAsia="de-DE" w:bidi="ar-SA"/>
              </w:rPr>
            </w:pPr>
            <w:r>
              <w:rPr>
                <w:rFonts w:eastAsia="" w:cs=""/>
                <w:kern w:val="0"/>
                <w:sz w:val="22"/>
                <w:szCs w:val="22"/>
                <w:lang w:val="de-DE" w:eastAsia="de-DE" w:bidi="ar-SA"/>
              </w:rPr>
              <w:t>Technische Weisung    (ohne VA-NR)</w:t>
            </w:r>
          </w:p>
        </w:tc>
      </w:tr>
      <w:tr>
        <w:trPr/>
        <w:tc>
          <w:tcPr>
            <w:tcW w:w="993"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849" w:type="dxa"/>
            <w:tcBorders>
              <w:top w:val="nil"/>
              <w:left w:val="nil"/>
              <w:bottom w:val="nil"/>
              <w:right w:val="nil"/>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4645" w:type="dxa"/>
            <w:tcBorders>
              <w:top w:val="nil"/>
              <w:left w:val="nil"/>
              <w:bottom w:val="nil"/>
              <w:right w:val="nil"/>
            </w:tcBorders>
          </w:tcPr>
          <w:p>
            <w:pPr>
              <w:pStyle w:val="Normal"/>
              <w:widowControl/>
              <w:spacing w:lineRule="auto" w:line="240" w:before="0" w:after="0"/>
              <w:rPr>
                <w:rFonts w:ascii="Myriad Pro" w:hAnsi="Myriad Pro" w:eastAsia="" w:cs=""/>
                <w:kern w:val="0"/>
                <w:sz w:val="22"/>
                <w:szCs w:val="22"/>
                <w:lang w:val="de-DE" w:eastAsia="de-DE" w:bidi="ar-SA"/>
              </w:rPr>
            </w:pPr>
            <w:r>
              <w:rPr>
                <w:rFonts w:eastAsia="" w:cs=""/>
                <w:kern w:val="0"/>
                <w:sz w:val="22"/>
                <w:szCs w:val="22"/>
                <w:lang w:val="de-DE" w:eastAsia="de-DE" w:bidi="ar-SA"/>
              </w:rPr>
            </w:r>
          </w:p>
        </w:tc>
      </w:tr>
    </w:tbl>
    <w:p>
      <w:pPr>
        <w:pStyle w:val="Normal"/>
        <w:rPr/>
      </w:pPr>
      <w:r>
        <w:rPr/>
        <w:t>Die VA-NR setzt sich aus zwei Zahlen zusammen. Die erste Zahl beschreibt dabei den Bereich, in den die betreffende VA fällt. Mit Einführung der Version 9001:2015 wird die bisher bestehende Gliederung nicht verändert. Die zweite Zahl stellt die fortlaufende Nummer der VA innerhalb des Bereichs dar.</w:t>
      </w:r>
    </w:p>
    <w:p>
      <w:pPr>
        <w:pStyle w:val="Normal"/>
        <w:rPr/>
      </w:pPr>
      <w:r>
        <w:rPr/>
        <w:t>Folgende Bereiche sind:</w:t>
      </w:r>
    </w:p>
    <w:tbl>
      <w:tblPr>
        <w:tblStyle w:val="Tabellenraster"/>
        <w:tblW w:w="849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
        <w:gridCol w:w="5529"/>
        <w:gridCol w:w="1971"/>
      </w:tblGrid>
      <w:tr>
        <w:trPr/>
        <w:tc>
          <w:tcPr>
            <w:tcW w:w="992"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5529" w:type="dxa"/>
            <w:tcBorders>
              <w:top w:val="nil"/>
              <w:left w:val="nil"/>
              <w:bottom w:val="nil"/>
              <w:right w:val="nil"/>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Bereich</w:t>
            </w:r>
          </w:p>
        </w:tc>
        <w:tc>
          <w:tcPr>
            <w:tcW w:w="1971"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t>Nummernschlüssel</w:t>
            </w:r>
          </w:p>
        </w:tc>
      </w:tr>
      <w:tr>
        <w:trPr/>
        <w:tc>
          <w:tcPr>
            <w:tcW w:w="992"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5529" w:type="dxa"/>
            <w:tcBorders>
              <w:top w:val="nil"/>
              <w:left w:val="nil"/>
              <w:bottom w:val="nil"/>
              <w:right w:val="nil"/>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allgemeine Dokumente zum QMH</w:t>
            </w:r>
          </w:p>
        </w:tc>
        <w:tc>
          <w:tcPr>
            <w:tcW w:w="1971"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t>00</w:t>
            </w:r>
          </w:p>
        </w:tc>
      </w:tr>
      <w:tr>
        <w:trPr/>
        <w:tc>
          <w:tcPr>
            <w:tcW w:w="992"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5529" w:type="dxa"/>
            <w:tcBorders>
              <w:top w:val="nil"/>
              <w:left w:val="nil"/>
              <w:bottom w:val="nil"/>
              <w:right w:val="nil"/>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Dokumentierte Informationen und Corporate Design</w:t>
            </w:r>
          </w:p>
        </w:tc>
        <w:tc>
          <w:tcPr>
            <w:tcW w:w="1971"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t>01</w:t>
            </w:r>
          </w:p>
        </w:tc>
      </w:tr>
      <w:tr>
        <w:trPr/>
        <w:tc>
          <w:tcPr>
            <w:tcW w:w="992"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5529" w:type="dxa"/>
            <w:tcBorders>
              <w:top w:val="nil"/>
              <w:left w:val="nil"/>
              <w:bottom w:val="nil"/>
              <w:right w:val="nil"/>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Unterstützungsprozesse / Management der Ressourcen</w:t>
            </w:r>
          </w:p>
        </w:tc>
        <w:tc>
          <w:tcPr>
            <w:tcW w:w="1971"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t>02</w:t>
            </w:r>
          </w:p>
        </w:tc>
      </w:tr>
      <w:tr>
        <w:trPr/>
        <w:tc>
          <w:tcPr>
            <w:tcW w:w="992"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5529" w:type="dxa"/>
            <w:tcBorders>
              <w:top w:val="nil"/>
              <w:left w:val="nil"/>
              <w:bottom w:val="nil"/>
              <w:right w:val="nil"/>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Realisierungsprozesse</w:t>
            </w:r>
          </w:p>
        </w:tc>
        <w:tc>
          <w:tcPr>
            <w:tcW w:w="1971"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t>03</w:t>
            </w:r>
          </w:p>
        </w:tc>
      </w:tr>
      <w:tr>
        <w:trPr/>
        <w:tc>
          <w:tcPr>
            <w:tcW w:w="992"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r>
          </w:p>
        </w:tc>
        <w:tc>
          <w:tcPr>
            <w:tcW w:w="5529" w:type="dxa"/>
            <w:tcBorders>
              <w:top w:val="nil"/>
              <w:left w:val="nil"/>
              <w:bottom w:val="nil"/>
              <w:right w:val="nil"/>
            </w:tcBorders>
            <w:vAlign w:val="center"/>
          </w:tcPr>
          <w:p>
            <w:pPr>
              <w:pStyle w:val="Normal"/>
              <w:widowControl/>
              <w:spacing w:lineRule="auto" w:line="240" w:before="0" w:after="0"/>
              <w:jc w:val="left"/>
              <w:rPr>
                <w:rFonts w:ascii="Myriad Pro" w:hAnsi="Myriad Pro" w:eastAsia="" w:cs=""/>
                <w:kern w:val="0"/>
                <w:sz w:val="22"/>
                <w:szCs w:val="22"/>
                <w:lang w:val="de-DE" w:eastAsia="de-DE" w:bidi="ar-SA"/>
              </w:rPr>
            </w:pPr>
            <w:r>
              <w:rPr>
                <w:rFonts w:eastAsia="" w:cs=""/>
                <w:kern w:val="0"/>
                <w:sz w:val="22"/>
                <w:szCs w:val="22"/>
                <w:lang w:val="de-DE" w:eastAsia="de-DE" w:bidi="ar-SA"/>
              </w:rPr>
              <w:t>Bewertung und Verbesserung</w:t>
            </w:r>
          </w:p>
        </w:tc>
        <w:tc>
          <w:tcPr>
            <w:tcW w:w="1971" w:type="dxa"/>
            <w:tcBorders>
              <w:top w:val="nil"/>
              <w:left w:val="nil"/>
              <w:bottom w:val="nil"/>
              <w:right w:val="nil"/>
            </w:tcBorders>
          </w:tcPr>
          <w:p>
            <w:pPr>
              <w:pStyle w:val="Normal"/>
              <w:widowControl/>
              <w:spacing w:lineRule="auto" w:line="240" w:before="0" w:after="0"/>
              <w:jc w:val="center"/>
              <w:rPr>
                <w:rFonts w:ascii="Myriad Pro" w:hAnsi="Myriad Pro" w:eastAsia="" w:cs=""/>
                <w:kern w:val="0"/>
                <w:sz w:val="22"/>
                <w:szCs w:val="22"/>
                <w:lang w:val="de-DE" w:eastAsia="de-DE" w:bidi="ar-SA"/>
              </w:rPr>
            </w:pPr>
            <w:r>
              <w:rPr>
                <w:rFonts w:eastAsia="" w:cs=""/>
                <w:kern w:val="0"/>
                <w:sz w:val="22"/>
                <w:szCs w:val="22"/>
                <w:lang w:val="de-DE" w:eastAsia="de-DE" w:bidi="ar-SA"/>
              </w:rPr>
              <w:t>04</w:t>
            </w:r>
          </w:p>
        </w:tc>
      </w:tr>
    </w:tbl>
    <w:p>
      <w:pPr>
        <w:pStyle w:val="Normal"/>
        <w:spacing w:before="0" w:after="200"/>
        <w:ind w:left="1068" w:hanging="0"/>
        <w:contextualSpacing/>
        <w:rPr/>
      </w:pPr>
      <w:r>
        <w:rPr/>
      </w:r>
    </w:p>
    <w:p>
      <w:pPr>
        <w:pStyle w:val="Normal"/>
        <w:rPr/>
      </w:pPr>
      <w:r>
        <w:rPr/>
        <w:t>Die laufende Nummer bezieht sich auf die zu einer VA gehörenden Dokumente. Dabei erhalten QMH-Dokumente und VAs die Nummer 00. Für jeden anderen Typ beginnt die Nummerierung bei 01, auch wenn mehrere Typen vorhanden sind.</w:t>
      </w:r>
    </w:p>
    <w:p>
      <w:pPr>
        <w:pStyle w:val="Normal"/>
        <w:rPr/>
      </w:pPr>
      <w:r>
        <w:rPr/>
        <w:t>Eine Versionsbeschreibung erfolgt mittels der Buchstaben E (Entwurf) oder F(Finalversion). Die anschließende Nummer gibt den jeweiligen Versionsstand an und ist fortlaufend, für E und F getrennt, zu vergeben.</w:t>
      </w:r>
    </w:p>
    <w:p>
      <w:pPr>
        <w:pStyle w:val="Normal"/>
        <w:rPr/>
      </w:pPr>
      <w:r>
        <w:rPr/>
        <w:t>Die Initialen des Erstellers des Dokuments sind lt. Anhang zu verwenden.</w:t>
      </w:r>
    </w:p>
    <w:p>
      <w:pPr>
        <w:pStyle w:val="Normal"/>
        <w:rPr/>
      </w:pPr>
      <w:r>
        <w:rPr/>
        <w:t xml:space="preserve">Weitere Kennzeichnungen für </w:t>
      </w:r>
    </w:p>
    <w:p>
      <w:pPr>
        <w:pStyle w:val="ListParagraph"/>
        <w:numPr>
          <w:ilvl w:val="0"/>
          <w:numId w:val="9"/>
        </w:numPr>
        <w:spacing w:lineRule="auto" w:line="240" w:before="0" w:after="0"/>
        <w:ind w:left="714" w:hanging="357"/>
        <w:rPr/>
      </w:pPr>
      <w:r>
        <w:rPr/>
        <w:t>Kundennummern</w:t>
      </w:r>
    </w:p>
    <w:p>
      <w:pPr>
        <w:pStyle w:val="ListParagraph"/>
        <w:numPr>
          <w:ilvl w:val="0"/>
          <w:numId w:val="9"/>
        </w:numPr>
        <w:spacing w:lineRule="auto" w:line="240" w:before="0" w:after="0"/>
        <w:ind w:left="714" w:hanging="357"/>
        <w:rPr/>
      </w:pPr>
      <w:r>
        <w:rPr/>
        <w:t>Angebots- und Auftragsnummern</w:t>
      </w:r>
    </w:p>
    <w:p>
      <w:pPr>
        <w:pStyle w:val="ListParagraph"/>
        <w:numPr>
          <w:ilvl w:val="0"/>
          <w:numId w:val="9"/>
        </w:numPr>
        <w:spacing w:lineRule="auto" w:line="240" w:before="0" w:after="0"/>
        <w:ind w:left="714" w:hanging="357"/>
        <w:rPr/>
      </w:pPr>
      <w:r>
        <w:rPr/>
        <w:t>Produktnummern</w:t>
      </w:r>
    </w:p>
    <w:p>
      <w:pPr>
        <w:pStyle w:val="ListParagraph"/>
        <w:numPr>
          <w:ilvl w:val="0"/>
          <w:numId w:val="9"/>
        </w:numPr>
        <w:spacing w:lineRule="auto" w:line="240" w:before="0" w:after="0"/>
        <w:ind w:left="714" w:hanging="357"/>
        <w:rPr/>
      </w:pPr>
      <w:r>
        <w:rPr/>
        <w:t>Materialnummern</w:t>
      </w:r>
    </w:p>
    <w:p>
      <w:pPr>
        <w:pStyle w:val="ListParagraph"/>
        <w:numPr>
          <w:ilvl w:val="0"/>
          <w:numId w:val="9"/>
        </w:numPr>
        <w:spacing w:lineRule="auto" w:line="240" w:before="0" w:after="0"/>
        <w:ind w:left="714" w:hanging="357"/>
        <w:rPr/>
      </w:pPr>
      <w:r>
        <w:rPr/>
        <w:t>Rechnungsnummern</w:t>
      </w:r>
    </w:p>
    <w:p>
      <w:pPr>
        <w:pStyle w:val="ListParagraph"/>
        <w:numPr>
          <w:ilvl w:val="0"/>
          <w:numId w:val="9"/>
        </w:numPr>
        <w:spacing w:lineRule="auto" w:line="240" w:before="0" w:after="0"/>
        <w:ind w:left="714" w:hanging="357"/>
        <w:rPr/>
      </w:pPr>
      <w:r>
        <w:rPr/>
        <w:t>Kostenstellen</w:t>
      </w:r>
    </w:p>
    <w:p>
      <w:pPr>
        <w:pStyle w:val="Normal"/>
        <w:spacing w:lineRule="auto" w:line="240" w:before="0" w:after="0"/>
        <w:rPr/>
      </w:pPr>
      <w:r>
        <w:rPr/>
      </w:r>
    </w:p>
    <w:p>
      <w:pPr>
        <w:pStyle w:val="Normal"/>
        <w:spacing w:lineRule="auto" w:line="240" w:before="0" w:after="0"/>
        <w:rPr/>
      </w:pPr>
      <w:r>
        <w:rPr/>
        <w:t xml:space="preserve">werden von den Verantwortlichen (EK, </w:t>
      </w:r>
      <w:r>
        <w:rPr>
          <w:highlight w:val="yellow"/>
        </w:rPr>
        <w:t>LIH</w:t>
      </w:r>
      <w:r>
        <w:rPr/>
        <w:t xml:space="preserve">, Buchhaltung) nach vorgeschriebenen Mustern (s. Anlagen) vergeben und im System el.WIS eingetragen. </w:t>
      </w:r>
    </w:p>
    <w:p>
      <w:pPr>
        <w:pStyle w:val="Berschrift3"/>
        <w:rPr/>
      </w:pPr>
      <w:bookmarkStart w:id="36" w:name="_Toc445113553"/>
      <w:bookmarkStart w:id="37" w:name="_Toc278792314"/>
      <w:bookmarkStart w:id="38" w:name="_Toc282769749"/>
      <w:r>
        <w:rPr/>
        <w:t>4.3.2 Speicherung dokumentierter Informationen</w:t>
      </w:r>
      <w:bookmarkEnd w:id="36"/>
      <w:bookmarkEnd w:id="37"/>
      <w:bookmarkEnd w:id="38"/>
    </w:p>
    <w:p>
      <w:pPr>
        <w:pStyle w:val="Normal"/>
        <w:rPr/>
      </w:pPr>
      <w:r>
        <w:rPr/>
        <w:t>Alle Dokumente werden vor der Speicherung nach der vorgeschriebenen Form „Dateibenennung“ (s. Anhang) gekennzeichnet.</w:t>
      </w:r>
    </w:p>
    <w:p>
      <w:pPr>
        <w:pStyle w:val="Berschrift1"/>
        <w:spacing w:before="480" w:after="240"/>
        <w:rPr/>
      </w:pPr>
      <w:bookmarkStart w:id="39" w:name="_Toc445113554"/>
      <w:bookmarkStart w:id="40" w:name="_Toc331491500"/>
      <w:bookmarkStart w:id="41" w:name="_Toc415651027"/>
      <w:bookmarkStart w:id="42" w:name="_Toc282769755"/>
      <w:r>
        <w:rPr/>
        <w:t>4.4 Verteilung von Unterlagen</w:t>
      </w:r>
      <w:bookmarkEnd w:id="39"/>
      <w:bookmarkEnd w:id="40"/>
      <w:bookmarkEnd w:id="41"/>
      <w:bookmarkEnd w:id="42"/>
    </w:p>
    <w:p>
      <w:pPr>
        <w:pStyle w:val="Normal"/>
        <w:rPr/>
      </w:pPr>
      <w:r>
        <w:rPr/>
        <w:t>Jeder Ersteller von Unterlagen hat den Verteilerkreis unterlagenbezogen festzulegen. Der Empfang der Unterlagen, die der kontrollierten Verteilung unterliegen (Kfz-Mappe der Servicefahrzeuge), ist zu bestätigen.</w:t>
      </w:r>
    </w:p>
    <w:p>
      <w:pPr>
        <w:pStyle w:val="Berschrift1"/>
        <w:spacing w:before="480" w:after="240"/>
        <w:rPr/>
      </w:pPr>
      <w:bookmarkStart w:id="43" w:name="_Toc445113555"/>
      <w:bookmarkStart w:id="44" w:name="_Toc331491501"/>
      <w:bookmarkStart w:id="45" w:name="_Toc415651028"/>
      <w:bookmarkStart w:id="46" w:name="_Toc282769756"/>
      <w:r>
        <w:rPr/>
        <w:t>4.5 Änderungen</w:t>
      </w:r>
      <w:bookmarkEnd w:id="43"/>
      <w:bookmarkEnd w:id="44"/>
      <w:bookmarkEnd w:id="45"/>
      <w:bookmarkEnd w:id="46"/>
    </w:p>
    <w:p>
      <w:pPr>
        <w:pStyle w:val="Normal"/>
        <w:rPr/>
      </w:pPr>
      <w:r>
        <w:rPr/>
        <w:t>Bei Änderungen in Unterlagen sind alle betroffenen Stellen unverzüglich und umfassend zu informieren. Die Änderungen werden im Dokument gelb markiert.</w:t>
      </w:r>
    </w:p>
    <w:p>
      <w:pPr>
        <w:pStyle w:val="Normal"/>
        <w:rPr/>
      </w:pPr>
      <w:r>
        <w:rPr/>
        <w:t>Ungültige Unterlagen sind gegen gültige, revidierte Unterlagen auszutauschen. Gedruckte Versionen ungültiger Dokumente werden vernichtet. Der jeweilige Ersteller des geänderten Dokumentes ist für die Archivierung der ungültigen Version im Gruppenlaufwerk verantwortlich. Im Verzeichnis „Ersetzte_QM-Dokumente“ ist ein Unterverzeichnis mit Angabe des Änderungsdatums anzulegen.</w:t>
      </w:r>
    </w:p>
    <w:p>
      <w:pPr>
        <w:pStyle w:val="Normal"/>
        <w:rPr/>
      </w:pPr>
      <w:r>
        <w:rPr/>
        <w:t>Die OM haben sicherzustellen, dass ungültige Unterlagen nicht weiter zur Anwendung kommen.</w:t>
      </w:r>
    </w:p>
    <w:p>
      <w:pPr>
        <w:pStyle w:val="Berschrift1"/>
        <w:spacing w:before="480" w:after="240"/>
        <w:rPr/>
      </w:pPr>
      <w:bookmarkStart w:id="47" w:name="_Toc445113556"/>
      <w:bookmarkStart w:id="48" w:name="_Toc331491502"/>
      <w:bookmarkStart w:id="49" w:name="_Toc415651029"/>
      <w:bookmarkStart w:id="50" w:name="_Toc282769759"/>
      <w:r>
        <w:rPr/>
        <w:t>4.6 Archivierung</w:t>
      </w:r>
      <w:bookmarkEnd w:id="47"/>
      <w:bookmarkEnd w:id="48"/>
      <w:bookmarkEnd w:id="49"/>
      <w:bookmarkEnd w:id="50"/>
    </w:p>
    <w:p>
      <w:pPr>
        <w:pStyle w:val="Normal"/>
        <w:rPr/>
      </w:pPr>
      <w:r>
        <w:rPr/>
        <w:t xml:space="preserve">Dokumentationen werden derart aufbewahrt, dass sie vor Schäden und Verlust geschützt sind. </w:t>
      </w:r>
    </w:p>
    <w:p>
      <w:pPr>
        <w:pStyle w:val="Normal"/>
        <w:rPr/>
      </w:pPr>
      <w:r>
        <w:rPr/>
        <w:t>Die Art der Ablage hat in übersichtlicher Form zu erfolgen um sicherzustellen, dass Dokumentationsunterlagen auch zu späteren Zeitpunkten aufgefunden werden.</w:t>
      </w:r>
    </w:p>
    <w:p>
      <w:pPr>
        <w:pStyle w:val="Normal"/>
        <w:rPr/>
      </w:pPr>
      <w:r>
        <w:rPr/>
        <w:t>Die Archivierung ist auf 10 Jahre festgelegt.</w:t>
      </w:r>
    </w:p>
    <w:p>
      <w:pPr>
        <w:pStyle w:val="Berschrift1"/>
        <w:spacing w:before="480" w:after="240"/>
        <w:rPr/>
      </w:pPr>
      <w:bookmarkStart w:id="51" w:name="_Toc331491503"/>
      <w:bookmarkStart w:id="52" w:name="_Toc445113557"/>
      <w:r>
        <w:rPr/>
        <w:t>4.7 EDV Anwendung</w:t>
      </w:r>
      <w:bookmarkEnd w:id="52"/>
    </w:p>
    <w:p>
      <w:pPr>
        <w:pStyle w:val="Berschrift2"/>
        <w:rPr/>
      </w:pPr>
      <w:bookmarkStart w:id="53" w:name="_Toc331491503"/>
      <w:bookmarkStart w:id="54" w:name="_Toc445113558"/>
      <w:r>
        <w:rPr/>
        <w:t>4.7.1 Datensicherung</w:t>
      </w:r>
      <w:bookmarkEnd w:id="53"/>
      <w:bookmarkEnd w:id="54"/>
    </w:p>
    <w:p>
      <w:pPr>
        <w:pStyle w:val="Normal"/>
        <w:rPr/>
      </w:pPr>
      <w:r>
        <w:rPr/>
        <w:t>Die MA sind für die Sicherung der lokalen Daten gegen Verlust auf ihren Rechnern selbst verantwortlich.</w:t>
      </w:r>
    </w:p>
    <w:p>
      <w:pPr>
        <w:pStyle w:val="Normal"/>
        <w:rPr/>
      </w:pPr>
      <w:r>
        <w:rPr/>
        <w:t>Daten auf den Gruppenlaufwerken, in el.WIS und die E-Mails werden von den externen Anbietern gegen Verlust gesichert. Die Sicherungsstrategie der Anbieter befindet sich in der Anlage.</w:t>
      </w:r>
    </w:p>
    <w:p>
      <w:pPr>
        <w:pStyle w:val="ListParagraph"/>
        <w:numPr>
          <w:ilvl w:val="0"/>
          <w:numId w:val="6"/>
        </w:numPr>
        <w:suppressAutoHyphens w:val="false"/>
        <w:spacing w:before="0" w:after="200"/>
        <w:contextualSpacing/>
        <w:rPr/>
      </w:pPr>
      <w:r>
        <w:rPr/>
        <w:t>el.WIS - Firma Aprixon</w:t>
      </w:r>
    </w:p>
    <w:p>
      <w:pPr>
        <w:pStyle w:val="Normal"/>
        <w:rPr/>
      </w:pPr>
      <w:r>
        <w:rPr/>
        <w:t>Alle Zugangsdaten für die MA werden vom IL vergeben. Damit wird gewährleistet, dass im Falle einer ungeplanten längerfristigen Abwesenheit des Mitarbeiters (Krankheit, Ausscheiden aus dem Unternehmen), weiterhin Zugriff auf die Daten des MA besteht.</w:t>
      </w:r>
    </w:p>
    <w:p>
      <w:pPr>
        <w:pStyle w:val="Normal"/>
        <w:rPr/>
      </w:pPr>
      <w:r>
        <w:rPr/>
        <w:t>Die MA sind nicht berechtig selbstständig Veränderung an der Hard- oder Software vorzunehmen, die ihnen zur Verfügung gestellt werden.</w:t>
      </w:r>
    </w:p>
    <w:p>
      <w:pPr>
        <w:pStyle w:val="Berschrift2"/>
        <w:rPr/>
      </w:pPr>
      <w:bookmarkStart w:id="55" w:name="_Toc445113559"/>
      <w:bookmarkStart w:id="56" w:name="_Toc331491504"/>
      <w:r>
        <w:rPr/>
        <w:t>4.7.2 Gruppenlaufwerke</w:t>
      </w:r>
      <w:bookmarkEnd w:id="55"/>
      <w:bookmarkEnd w:id="56"/>
    </w:p>
    <w:p>
      <w:pPr>
        <w:pStyle w:val="Normal"/>
        <w:rPr/>
      </w:pPr>
      <w:r>
        <w:rPr/>
        <w:t>Es existieren die vier Gruppenlaufwerke w24-intern, upload, GLW-w24 und Außendarstellung. Zugriffsberechtigungen werden Aufgaben bezogen festgelegt und sind der Anlage „Übersicht Zugriffsberechtigungen“ zu entnehmen.</w:t>
      </w:r>
    </w:p>
    <w:p>
      <w:pPr>
        <w:pStyle w:val="Berschrift1"/>
        <w:spacing w:before="360" w:after="240"/>
        <w:rPr/>
      </w:pPr>
      <w:bookmarkStart w:id="57" w:name="_Toc445113560"/>
      <w:bookmarkStart w:id="58" w:name="_Toc331491505"/>
      <w:r>
        <w:rPr/>
        <w:t>5. Mitgeltende Dokumente</w:t>
      </w:r>
      <w:bookmarkEnd w:id="57"/>
      <w:bookmarkEnd w:id="58"/>
    </w:p>
    <w:p>
      <w:pPr>
        <w:pStyle w:val="ListParagraph"/>
        <w:numPr>
          <w:ilvl w:val="0"/>
          <w:numId w:val="4"/>
        </w:numPr>
        <w:suppressAutoHyphens w:val="false"/>
        <w:spacing w:before="0" w:after="200"/>
        <w:contextualSpacing/>
        <w:rPr/>
      </w:pPr>
      <w:r>
        <w:rPr/>
        <w:t>keine</w:t>
      </w:r>
    </w:p>
    <w:p>
      <w:pPr>
        <w:pStyle w:val="Berschrift1"/>
        <w:spacing w:before="240" w:after="240"/>
        <w:rPr>
          <w:rFonts w:eastAsia="Times New Roman"/>
          <w:lang w:eastAsia="ar-SA"/>
        </w:rPr>
      </w:pPr>
      <w:bookmarkStart w:id="59" w:name="_Toc445113561"/>
      <w:bookmarkStart w:id="60" w:name="_Toc331491506"/>
      <w:bookmarkStart w:id="61" w:name="_Toc330909457"/>
      <w:r>
        <w:rPr>
          <w:rFonts w:eastAsia="Times New Roman"/>
          <w:bCs w:val="false"/>
          <w:lang w:eastAsia="ar-SA"/>
        </w:rPr>
        <w:t>6.</w:t>
      </w:r>
      <w:r>
        <w:rPr>
          <w:rFonts w:eastAsia="Times New Roman"/>
          <w:lang w:eastAsia="ar-SA"/>
        </w:rPr>
        <w:t xml:space="preserve"> Gültigkeit</w:t>
      </w:r>
      <w:bookmarkEnd w:id="59"/>
      <w:bookmarkEnd w:id="60"/>
      <w:bookmarkEnd w:id="61"/>
    </w:p>
    <w:p>
      <w:pPr>
        <w:pStyle w:val="Normal"/>
        <w:rPr>
          <w:highlight w:val="yellow"/>
        </w:rPr>
      </w:pPr>
      <w:r>
        <w:rPr>
          <w:highlight w:val="yellow"/>
        </w:rPr>
        <w:t>Diese Verfahrensanweisung tritt in Kraft am:</w:t>
        <w:tab/>
        <w:tab/>
      </w:r>
      <w:r>
        <w:rPr>
          <w:highlight w:val="yellow"/>
        </w:rPr>
        <w:t>18.04.2022</w:t>
      </w:r>
    </w:p>
    <w:p>
      <w:pPr>
        <w:pStyle w:val="Normal"/>
        <w:rPr/>
      </w:pPr>
      <w:r>
        <w:rPr>
          <w:highlight w:val="yellow"/>
        </w:rPr>
        <w:t>Diese Verfahrensanweisung setzt außer Kraft:</w:t>
        <w:tab/>
        <w:t>VA 01-01 vom 12.03.2018</w:t>
      </w:r>
    </w:p>
    <w:p>
      <w:pPr>
        <w:pStyle w:val="Berschrift1"/>
        <w:spacing w:before="360" w:after="240"/>
        <w:rPr/>
      </w:pPr>
      <w:bookmarkStart w:id="62" w:name="_Toc445113562"/>
      <w:bookmarkStart w:id="63" w:name="_Toc331491507"/>
      <w:r>
        <w:rPr/>
        <w:t>7. Anlagen</w:t>
      </w:r>
      <w:bookmarkEnd w:id="62"/>
      <w:bookmarkEnd w:id="63"/>
    </w:p>
    <w:p>
      <w:pPr>
        <w:pStyle w:val="ListParagraph"/>
        <w:numPr>
          <w:ilvl w:val="0"/>
          <w:numId w:val="4"/>
        </w:numPr>
        <w:suppressAutoHyphens w:val="false"/>
        <w:spacing w:before="0" w:after="200"/>
        <w:contextualSpacing/>
        <w:rPr/>
      </w:pPr>
      <w:r>
        <w:rPr/>
        <w:t>A01-01_01 Dateibenennung</w:t>
      </w:r>
    </w:p>
    <w:p>
      <w:pPr>
        <w:pStyle w:val="ListParagraph"/>
        <w:numPr>
          <w:ilvl w:val="0"/>
          <w:numId w:val="4"/>
        </w:numPr>
        <w:suppressAutoHyphens w:val="false"/>
        <w:spacing w:before="0" w:after="200"/>
        <w:contextualSpacing/>
        <w:rPr/>
      </w:pPr>
      <w:r>
        <w:rPr/>
        <w:t>A01-01_02 Dokumentennummer</w:t>
      </w:r>
    </w:p>
    <w:p>
      <w:pPr>
        <w:pStyle w:val="ListParagraph"/>
        <w:numPr>
          <w:ilvl w:val="0"/>
          <w:numId w:val="4"/>
        </w:numPr>
        <w:suppressAutoHyphens w:val="false"/>
        <w:spacing w:before="0" w:after="200"/>
        <w:contextualSpacing/>
        <w:rPr/>
      </w:pPr>
      <w:r>
        <w:rPr/>
        <w:t>A01-01_03 Kundennummer</w:t>
      </w:r>
    </w:p>
    <w:p>
      <w:pPr>
        <w:pStyle w:val="ListParagraph"/>
        <w:numPr>
          <w:ilvl w:val="0"/>
          <w:numId w:val="4"/>
        </w:numPr>
        <w:suppressAutoHyphens w:val="false"/>
        <w:spacing w:before="0" w:after="200"/>
        <w:contextualSpacing/>
        <w:rPr/>
      </w:pPr>
      <w:r>
        <w:rPr/>
        <w:t>A01-01_04 Angebots- und Auftragsnummer</w:t>
      </w:r>
    </w:p>
    <w:p>
      <w:pPr>
        <w:pStyle w:val="ListParagraph"/>
        <w:numPr>
          <w:ilvl w:val="0"/>
          <w:numId w:val="4"/>
        </w:numPr>
        <w:suppressAutoHyphens w:val="false"/>
        <w:spacing w:before="0" w:after="200"/>
        <w:contextualSpacing/>
        <w:rPr/>
      </w:pPr>
      <w:r>
        <w:rPr/>
        <w:t>A01-01_05 Produktnummer</w:t>
      </w:r>
    </w:p>
    <w:p>
      <w:pPr>
        <w:pStyle w:val="ListParagraph"/>
        <w:numPr>
          <w:ilvl w:val="0"/>
          <w:numId w:val="4"/>
        </w:numPr>
        <w:suppressAutoHyphens w:val="false"/>
        <w:spacing w:before="0" w:after="200"/>
        <w:contextualSpacing/>
        <w:rPr/>
      </w:pPr>
      <w:r>
        <w:rPr/>
        <w:t>A01-01_06 Materialnummer</w:t>
      </w:r>
    </w:p>
    <w:p>
      <w:pPr>
        <w:pStyle w:val="ListParagraph"/>
        <w:numPr>
          <w:ilvl w:val="0"/>
          <w:numId w:val="4"/>
        </w:numPr>
        <w:suppressAutoHyphens w:val="false"/>
        <w:spacing w:before="0" w:after="200"/>
        <w:contextualSpacing/>
        <w:rPr/>
      </w:pPr>
      <w:r>
        <w:rPr/>
        <w:t>A01-01_07 nicht belegt</w:t>
      </w:r>
    </w:p>
    <w:p>
      <w:pPr>
        <w:pStyle w:val="ListParagraph"/>
        <w:numPr>
          <w:ilvl w:val="0"/>
          <w:numId w:val="4"/>
        </w:numPr>
        <w:suppressAutoHyphens w:val="false"/>
        <w:spacing w:before="0" w:after="200"/>
        <w:contextualSpacing/>
        <w:rPr/>
      </w:pPr>
      <w:r>
        <w:rPr/>
        <w:t>A01-01_08 Initialienübersicht</w:t>
      </w:r>
    </w:p>
    <w:p>
      <w:pPr>
        <w:pStyle w:val="ListParagraph"/>
        <w:numPr>
          <w:ilvl w:val="0"/>
          <w:numId w:val="4"/>
        </w:numPr>
        <w:suppressAutoHyphens w:val="false"/>
        <w:spacing w:before="0" w:after="200"/>
        <w:contextualSpacing/>
        <w:rPr/>
      </w:pPr>
      <w:r>
        <w:rPr/>
        <w:t>A01-01_09 Aussage Datenhaltung Aprixon</w:t>
      </w:r>
      <w:bookmarkStart w:id="64" w:name="_GoBack"/>
      <w:bookmarkEnd w:id="64"/>
    </w:p>
    <w:p>
      <w:pPr>
        <w:pStyle w:val="ListParagraph"/>
        <w:numPr>
          <w:ilvl w:val="0"/>
          <w:numId w:val="4"/>
        </w:numPr>
        <w:suppressAutoHyphens w:val="false"/>
        <w:spacing w:before="0" w:after="200"/>
        <w:contextualSpacing/>
        <w:rPr/>
      </w:pPr>
      <w:r>
        <w:rPr/>
        <w:t xml:space="preserve">A01-01_10 Übersicht Zugriffsberechtigungen </w:t>
      </w:r>
      <w:r>
        <w:rPr>
          <w:b/>
        </w:rPr>
        <w:t>als Datei</w:t>
      </w:r>
    </w:p>
    <w:p>
      <w:pPr>
        <w:pStyle w:val="ListParagraph"/>
        <w:numPr>
          <w:ilvl w:val="0"/>
          <w:numId w:val="4"/>
        </w:numPr>
        <w:suppressAutoHyphens w:val="false"/>
        <w:spacing w:before="0" w:after="200"/>
        <w:contextualSpacing/>
        <w:rPr/>
      </w:pPr>
      <w:r>
        <w:rPr/>
        <w:t>A01-01_11 Schema Kostenstellen</w:t>
      </w:r>
    </w:p>
    <w:p>
      <w:pPr>
        <w:pStyle w:val="ListParagraph"/>
        <w:numPr>
          <w:ilvl w:val="0"/>
          <w:numId w:val="4"/>
        </w:numPr>
        <w:suppressAutoHyphens w:val="false"/>
        <w:spacing w:before="0" w:after="200"/>
        <w:contextualSpacing/>
        <w:rPr/>
      </w:pPr>
      <w:r>
        <w:rPr/>
        <w:t>A01-01_12 Rechnungsnummer</w:t>
      </w:r>
    </w:p>
    <w:p>
      <w:pPr>
        <w:pStyle w:val="ListParagraph"/>
        <w:numPr>
          <w:ilvl w:val="0"/>
          <w:numId w:val="4"/>
        </w:numPr>
        <w:suppressAutoHyphens w:val="false"/>
        <w:spacing w:before="0" w:after="200"/>
        <w:contextualSpacing/>
        <w:rPr/>
      </w:pPr>
      <w:r>
        <w:rPr/>
        <w:t>A01-01_13 Referenzliste ECM</w:t>
      </w:r>
    </w:p>
    <w:p>
      <w:pPr>
        <w:pStyle w:val="ListParagraph"/>
        <w:numPr>
          <w:ilvl w:val="0"/>
          <w:numId w:val="4"/>
        </w:numPr>
        <w:suppressAutoHyphens w:val="false"/>
        <w:spacing w:before="0" w:after="200"/>
        <w:contextualSpacing/>
        <w:rPr/>
      </w:pPr>
      <w:r>
        <w:rPr/>
        <w:t>A01-01_14 Aktualisierungsübersicht Regelwerke</w:t>
      </w:r>
    </w:p>
    <w:p>
      <w:pPr>
        <w:pStyle w:val="ListParagraph"/>
        <w:numPr>
          <w:ilvl w:val="0"/>
          <w:numId w:val="4"/>
        </w:numPr>
        <w:suppressAutoHyphens w:val="false"/>
        <w:spacing w:before="0" w:after="200"/>
        <w:contextualSpacing/>
        <w:rPr/>
      </w:pPr>
      <w:r>
        <w:rPr/>
        <w:t>A01-01_15 Revisionsübersicht</w:t>
      </w:r>
    </w:p>
    <w:p>
      <w:pPr>
        <w:pStyle w:val="ListParagraph"/>
        <w:numPr>
          <w:ilvl w:val="0"/>
          <w:numId w:val="4"/>
        </w:numPr>
        <w:suppressAutoHyphens w:val="false"/>
        <w:spacing w:before="0" w:after="200"/>
        <w:contextualSpacing/>
        <w:rPr/>
      </w:pPr>
      <w:r>
        <w:rPr/>
        <w:t>FB01-01_01 Vorlage VA/AA/TW</w:t>
      </w:r>
    </w:p>
    <w:p>
      <w:pPr>
        <w:pStyle w:val="ListParagraph"/>
        <w:numPr>
          <w:ilvl w:val="0"/>
          <w:numId w:val="4"/>
        </w:numPr>
        <w:suppressAutoHyphens w:val="false"/>
        <w:spacing w:before="0" w:after="200"/>
        <w:contextualSpacing/>
        <w:rPr/>
      </w:pPr>
      <w:r>
        <w:rPr/>
        <w:t>FB01-01_02 Vorlage A/FB/PD</w:t>
      </w:r>
    </w:p>
    <w:p>
      <w:pPr>
        <w:pStyle w:val="ListParagraph"/>
        <w:numPr>
          <w:ilvl w:val="0"/>
          <w:numId w:val="4"/>
        </w:numPr>
        <w:suppressAutoHyphens w:val="false"/>
        <w:spacing w:before="0" w:after="200"/>
        <w:contextualSpacing/>
        <w:rPr>
          <w:highlight w:val="yellow"/>
        </w:rPr>
      </w:pPr>
      <w:r>
        <w:rPr>
          <w:highlight w:val="yellow"/>
        </w:rPr>
        <w:t>PD01-01_01 Prozessdarstellung „Externes Regelwerk (Umgang mit Änderungen)“</w:t>
      </w:r>
    </w:p>
    <w:p>
      <w:pPr>
        <w:pStyle w:val="ListParagraph"/>
        <w:numPr>
          <w:ilvl w:val="0"/>
          <w:numId w:val="4"/>
        </w:numPr>
        <w:suppressAutoHyphens w:val="false"/>
        <w:spacing w:before="0" w:after="200"/>
        <w:contextualSpacing/>
        <w:rPr>
          <w:highlight w:val="yellow"/>
        </w:rPr>
      </w:pPr>
      <w:r>
        <w:rPr>
          <w:highlight w:val="yellow"/>
        </w:rPr>
        <w:t>PD01-01_02 Prozessdarstellung „Erstellung / Änderung von Dokumenten“</w:t>
      </w:r>
    </w:p>
    <w:p>
      <w:pPr>
        <w:pStyle w:val="Normal"/>
        <w:spacing w:before="0" w:after="200"/>
        <w:ind w:left="360" w:hanging="0"/>
        <w:contextualSpacing/>
        <w:rPr/>
      </w:pPr>
      <w:r>
        <w:rPr/>
      </w:r>
    </w:p>
    <w:sectPr>
      <w:headerReference w:type="default" r:id="rId3"/>
      <w:footerReference w:type="default" r:id="rId4"/>
      <w:type w:val="nextPage"/>
      <w:pgSz w:w="11906" w:h="16838"/>
      <w:pgMar w:left="1417" w:right="1417" w:gutter="0" w:header="709" w:top="1417"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Myriad Pro">
    <w:charset w:val="01"/>
    <w:family w:val="roman"/>
    <w:pitch w:val="variable"/>
  </w:font>
  <w:font w:name="Tahoma">
    <w:charset w:val="01"/>
    <w:family w:val="roman"/>
    <w:pitch w:val="variable"/>
  </w:font>
  <w:font w:name="Liberation Sans">
    <w:altName w:val="Arial"/>
    <w:charset w:val="01"/>
    <w:family w:val="swiss"/>
    <w:pitch w:val="variable"/>
  </w:font>
  <w:font w:name="EUAlbertina">
    <w:charset w:val="01"/>
    <w:family w:val="roman"/>
    <w:pitch w:val="variable"/>
  </w:font>
  <w:font w:name="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47185425"/>
    </w:sdtPr>
    <w:sdtContent>
      <w:p>
        <w:pPr>
          <w:pStyle w:val="Normal"/>
          <w:pBdr>
            <w:top w:val="single" w:sz="4" w:space="1" w:color="000000"/>
          </w:pBdr>
          <w:spacing w:before="0" w:after="200"/>
          <w:rPr>
            <w:rFonts w:ascii="Myriad Pro" w:hAnsi="Myriad Pro"/>
            <w:color w:val="1F497D" w:themeColor="text2"/>
            <w:sz w:val="20"/>
            <w:szCs w:val="20"/>
          </w:rPr>
        </w:pPr>
        <w:r>
          <w:rPr>
            <w:color w:val="1F497D" w:themeColor="text2"/>
            <w:sz w:val="20"/>
            <w:szCs w:val="20"/>
          </w:rPr>
          <w:tab/>
          <w:t>VA 01-01_</w:t>
        </w:r>
        <w:r>
          <w:rPr>
            <w:color w:val="1F497D" w:themeColor="text2"/>
            <w:sz w:val="20"/>
            <w:szCs w:val="20"/>
          </w:rPr>
          <w:t>18.04.2022</w:t>
        </w:r>
        <w:r>
          <w:rPr>
            <w:color w:val="1F497D" w:themeColor="text2"/>
            <w:sz w:val="20"/>
            <w:szCs w:val="20"/>
          </w:rPr>
          <w:t>_F09_</w:t>
        </w:r>
        <w:r>
          <w:rPr>
            <w:color w:val="1F497D" w:themeColor="text2"/>
            <w:sz w:val="20"/>
            <w:szCs w:val="20"/>
          </w:rPr>
          <w:t>NW</w:t>
        </w:r>
        <w:r>
          <w:rPr>
            <w:color w:val="1F497D" w:themeColor="text2"/>
            <w:sz w:val="20"/>
            <w:szCs w:val="20"/>
          </w:rPr>
          <w:tab/>
          <w:t xml:space="preserve">Seite </w:t>
        </w:r>
        <w:r>
          <w:rPr>
            <w:color w:val="1F497D" w:themeColor="text2"/>
            <w:sz w:val="20"/>
            <w:szCs w:val="20"/>
          </w:rPr>
          <w:fldChar w:fldCharType="begin"/>
        </w:r>
        <w:r>
          <w:rPr>
            <w:sz w:val="20"/>
            <w:szCs w:val="20"/>
            <w:color w:val="1F497D"/>
          </w:rPr>
          <w:instrText xml:space="preserve"> PAGE </w:instrText>
        </w:r>
        <w:r>
          <w:rPr>
            <w:sz w:val="20"/>
            <w:szCs w:val="20"/>
            <w:color w:val="1F497D"/>
          </w:rPr>
          <w:fldChar w:fldCharType="separate"/>
        </w:r>
        <w:r>
          <w:rPr>
            <w:sz w:val="20"/>
            <w:szCs w:val="20"/>
            <w:color w:val="1F497D"/>
          </w:rPr>
          <w:t>10</w:t>
        </w:r>
        <w:r>
          <w:rPr>
            <w:sz w:val="20"/>
            <w:szCs w:val="20"/>
            <w:color w:val="1F497D"/>
          </w:rPr>
          <w:fldChar w:fldCharType="end"/>
        </w:r>
        <w:r>
          <w:rPr>
            <w:color w:val="1F497D" w:themeColor="text2"/>
            <w:sz w:val="20"/>
            <w:szCs w:val="20"/>
          </w:rPr>
          <w:t xml:space="preserve"> von </w:t>
        </w:r>
        <w:r>
          <w:rPr>
            <w:color w:val="1F497D" w:themeColor="text2"/>
            <w:sz w:val="20"/>
            <w:szCs w:val="20"/>
          </w:rPr>
          <w:fldChar w:fldCharType="begin"/>
        </w:r>
        <w:r>
          <w:rPr>
            <w:sz w:val="20"/>
            <w:szCs w:val="20"/>
            <w:color w:val="1F497D"/>
          </w:rPr>
          <w:instrText xml:space="preserve"> NUMPAGES </w:instrText>
        </w:r>
        <w:r>
          <w:rPr>
            <w:sz w:val="20"/>
            <w:szCs w:val="20"/>
            <w:color w:val="1F497D"/>
          </w:rPr>
          <w:fldChar w:fldCharType="separate"/>
        </w:r>
        <w:r>
          <w:rPr>
            <w:sz w:val="20"/>
            <w:szCs w:val="20"/>
            <w:color w:val="1F497D"/>
          </w:rPr>
          <w:t>10</w:t>
        </w:r>
        <w:r>
          <w:rPr>
            <w:sz w:val="20"/>
            <w:szCs w:val="20"/>
            <w:color w:val="1F497D"/>
          </w:rPr>
          <w:fldChar w:fldCharType="end"/>
        </w:r>
      </w:p>
    </w:sdtContent>
  </w:sdt>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erschrift2"/>
      <w:tabs>
        <w:tab w:val="clear" w:pos="708"/>
        <w:tab w:val="left" w:pos="3331" w:leader="none"/>
      </w:tabs>
      <w:spacing w:before="0" w:after="0"/>
      <w:jc w:val="left"/>
      <w:rPr>
        <w:rFonts w:ascii="Myriad Pro" w:hAnsi="Myriad Pro"/>
        <w:caps/>
        <w:color w:val="808080" w:themeColor="background1" w:themeShade="80"/>
        <w:sz w:val="22"/>
        <w:szCs w:val="23"/>
      </w:rPr>
    </w:pPr>
    <w:r>
      <w:drawing>
        <wp:anchor behindDoc="1" distT="0" distB="0" distL="0" distR="0" simplePos="0" locked="0" layoutInCell="0" allowOverlap="1" relativeHeight="11">
          <wp:simplePos x="0" y="0"/>
          <wp:positionH relativeFrom="page">
            <wp:posOffset>5157470</wp:posOffset>
          </wp:positionH>
          <wp:positionV relativeFrom="page">
            <wp:posOffset>421005</wp:posOffset>
          </wp:positionV>
          <wp:extent cx="1602105" cy="600075"/>
          <wp:effectExtent l="0" t="0" r="0" b="0"/>
          <wp:wrapNone/>
          <wp:docPr id="3" name="Grafik 4" descr="LOGOw2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4" descr="LOGOw24.pdf"/>
                  <pic:cNvPicPr>
                    <a:picLocks noChangeAspect="1" noChangeArrowheads="1"/>
                  </pic:cNvPicPr>
                </pic:nvPicPr>
                <pic:blipFill>
                  <a:blip r:embed="rId1"/>
                  <a:stretch>
                    <a:fillRect/>
                  </a:stretch>
                </pic:blipFill>
                <pic:spPr bwMode="auto">
                  <a:xfrm>
                    <a:off x="0" y="0"/>
                    <a:ext cx="1602105" cy="600075"/>
                  </a:xfrm>
                  <a:prstGeom prst="rect">
                    <a:avLst/>
                  </a:prstGeom>
                </pic:spPr>
              </pic:pic>
            </a:graphicData>
          </a:graphic>
        </wp:anchor>
      </w:drawing>
    </w:r>
    <w:r>
      <w:rPr>
        <w:caps/>
        <w:color w:val="808080" w:themeColor="background1" w:themeShade="80"/>
        <w:sz w:val="22"/>
        <w:szCs w:val="23"/>
      </w:rPr>
      <w:t>Qualitätsmanagement-System</w:t>
    </w:r>
  </w:p>
  <w:p>
    <w:pPr>
      <w:pStyle w:val="Berschrift3"/>
      <w:spacing w:lineRule="auto" w:line="240" w:before="200" w:after="240"/>
      <w:jc w:val="left"/>
      <w:rPr>
        <w:rFonts w:ascii="Myriad Pro" w:hAnsi="Myriad Pro"/>
      </w:rPr>
    </w:pPr>
    <w:sdt>
      <w:sdtPr>
        <w:id w:val="671456777"/>
        <w:dataBinding w:prefixMappings="xmlns:ns0='http://purl.org/dc/elements/1.1/' xmlns:ns1='http://schemas.openxmlformats.org/package/2006/metadata/core-properties' " w:xpath="/ns1:coreProperties[1]/ns0:title[1]" w:storeItemID="{6C3C8BC8-F283-45AE-878A-BAB7291924A1}"/>
        <w:alias w:val="Titel"/>
        <w:text/>
      </w:sdtPr>
      <w:sdtContent>
        <w:r>
          <w:rPr/>
          <w:t>VA Dokumentierte Informationen</w:t>
        </w:r>
      </w:sdtContent>
    </w:sdt>
    <w:r>
      <w:rPr/>
      <mc:AlternateContent>
        <mc:Choice Requires="wps">
          <w:drawing>
            <wp:inline distT="0" distB="0" distL="0" distR="0">
              <wp:extent cx="5760720" cy="6350"/>
              <wp:effectExtent l="0" t="0" r="0" b="152400"/>
              <wp:docPr id="4" name=""/>
              <a:graphic xmlns:a="http://schemas.openxmlformats.org/drawingml/2006/main">
                <a:graphicData uri="http://schemas.microsoft.com/office/word/2010/wordprocessingShape">
                  <wps:wsp>
                    <wps:cNvSpPr/>
                    <wps:nvSpPr>
                      <wps:cNvPr id="0" name=""/>
                      <wps:cNvSpPr/>
                    </wps:nvSpPr>
                    <wps:spPr>
                      <a:xfrm>
                        <a:off x="0" y="0"/>
                        <a:ext cx="5760720" cy="6480"/>
                      </a:xfrm>
                      <a:prstGeom prst="rect">
                        <a:avLst/>
                      </a:prstGeom>
                      <a:solidFill>
                        <a:srgbClr val="000000"/>
                      </a:solidFill>
                      <a:ln w="0">
                        <a:noFill/>
                      </a:ln>
                    </wps:spPr>
                    <wps:bodyPr/>
                  </wps:wsp>
                </a:graphicData>
              </a:graphic>
              <wp14:sizeRelH relativeFrom="page">
                <wp14:pctWidth>100000</wp14:pctWidth>
              </wp14:sizeRelH>
            </wp:inline>
          </w:drawing>
        </mc:Choice>
        <mc:Fallback>
          <w:pict>
            <v:rect id="shape_0" fillcolor="black" stroked="f" o:allowincell="f" style="position:absolute;margin-left:0pt;margin-top:-12.55pt;width:453.55pt;height:0.45pt;mso-wrap-style:none;v-text-anchor:middle;mso-position-horizontal:center;mso-position-vertical:top">
              <v:fill o:detectmouseclick="t" type="solid" color2="white"/>
              <v:stroke color="#3465a4" joinstyle="round" endcap="flat"/>
              <w10:wrap type="topAndBottom"/>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Myriad Pro" w:hAnsi="Myriad Pro" w:eastAsia="" w:cs="" w:asciiTheme="minorHAnsi" w:cstheme="minorBidi" w:eastAsiaTheme="minorEastAsia" w:hAnsiTheme="minorHAnsi"/>
        <w:sz w:val="22"/>
        <w:szCs w:val="22"/>
        <w:lang w:val="de-DE" w:eastAsia="de-DE"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13607"/>
    <w:pPr>
      <w:widowControl/>
      <w:suppressAutoHyphens w:val="false"/>
      <w:bidi w:val="0"/>
      <w:spacing w:lineRule="auto" w:line="276" w:before="0" w:after="200"/>
      <w:jc w:val="both"/>
    </w:pPr>
    <w:rPr>
      <w:rFonts w:ascii="Myriad Pro" w:hAnsi="Myriad Pro" w:eastAsia="" w:cs="" w:asciiTheme="minorHAnsi" w:cstheme="minorBidi" w:eastAsiaTheme="minorEastAsia" w:hAnsiTheme="minorHAnsi"/>
      <w:color w:val="auto"/>
      <w:kern w:val="0"/>
      <w:sz w:val="22"/>
      <w:szCs w:val="22"/>
      <w:lang w:val="de-DE" w:eastAsia="de-DE" w:bidi="ar-SA"/>
    </w:rPr>
  </w:style>
  <w:style w:type="paragraph" w:styleId="Berschrift1">
    <w:name w:val="Heading 1"/>
    <w:basedOn w:val="Normal"/>
    <w:next w:val="Normal"/>
    <w:link w:val="Berschrift1Zchn"/>
    <w:uiPriority w:val="9"/>
    <w:qFormat/>
    <w:rsid w:val="00ce6e55"/>
    <w:pPr>
      <w:keepNext w:val="true"/>
      <w:keepLines/>
      <w:spacing w:before="600" w:after="240"/>
      <w:outlineLvl w:val="0"/>
    </w:pPr>
    <w:rPr>
      <w:rFonts w:ascii="Myriad Pro" w:hAnsi="Myriad Pro" w:eastAsia="" w:cs="" w:asciiTheme="majorHAnsi" w:cstheme="majorBidi" w:eastAsiaTheme="majorEastAsia" w:hAnsiTheme="majorHAnsi"/>
      <w:b/>
      <w:bCs/>
      <w:color w:val="1F497D" w:themeColor="text2"/>
      <w:sz w:val="28"/>
      <w:szCs w:val="28"/>
    </w:rPr>
  </w:style>
  <w:style w:type="paragraph" w:styleId="Berschrift2">
    <w:name w:val="Heading 2"/>
    <w:basedOn w:val="Normal"/>
    <w:next w:val="Normal"/>
    <w:link w:val="Berschrift2Zchn"/>
    <w:uiPriority w:val="9"/>
    <w:unhideWhenUsed/>
    <w:qFormat/>
    <w:rsid w:val="00895e70"/>
    <w:pPr>
      <w:keepNext w:val="true"/>
      <w:keepLines/>
      <w:spacing w:before="200" w:after="0"/>
      <w:outlineLvl w:val="1"/>
    </w:pPr>
    <w:rPr>
      <w:rFonts w:ascii="Myriad Pro" w:hAnsi="Myriad Pro" w:eastAsia="" w:cs="" w:asciiTheme="majorHAnsi" w:cstheme="majorBidi" w:eastAsiaTheme="majorEastAsia" w:hAnsiTheme="majorHAnsi"/>
      <w:b/>
      <w:bCs/>
      <w:color w:val="2F70BF"/>
      <w:sz w:val="26"/>
      <w:szCs w:val="26"/>
    </w:rPr>
  </w:style>
  <w:style w:type="paragraph" w:styleId="Berschrift3">
    <w:name w:val="Heading 3"/>
    <w:basedOn w:val="Normal"/>
    <w:next w:val="Normal"/>
    <w:link w:val="Berschrift3Zchn"/>
    <w:uiPriority w:val="9"/>
    <w:unhideWhenUsed/>
    <w:qFormat/>
    <w:rsid w:val="00e32aa4"/>
    <w:pPr>
      <w:keepNext w:val="true"/>
      <w:keepLines/>
      <w:spacing w:before="200" w:after="0"/>
      <w:outlineLvl w:val="2"/>
    </w:pPr>
    <w:rPr>
      <w:rFonts w:ascii="Myriad Pro" w:hAnsi="Myriad Pro" w:eastAsia="" w:cs="" w:asciiTheme="majorHAnsi" w:cstheme="majorBidi" w:eastAsiaTheme="majorEastAsia" w:hAnsiTheme="majorHAnsi"/>
      <w:b/>
      <w:bCs/>
      <w:color w:val="2F70BF"/>
    </w:rPr>
  </w:style>
  <w:style w:type="paragraph" w:styleId="Berschrift4">
    <w:name w:val="Heading 4"/>
    <w:basedOn w:val="Normal"/>
    <w:next w:val="Normal"/>
    <w:link w:val="Berschrift4Zchn"/>
    <w:uiPriority w:val="9"/>
    <w:semiHidden/>
    <w:unhideWhenUsed/>
    <w:qFormat/>
    <w:rsid w:val="00e32aa4"/>
    <w:pPr>
      <w:keepNext w:val="true"/>
      <w:keepLines/>
      <w:spacing w:before="200" w:after="0"/>
      <w:outlineLvl w:val="3"/>
    </w:pPr>
    <w:rPr>
      <w:rFonts w:ascii="Myriad Pro" w:hAnsi="Myriad Pro" w:eastAsia="" w:cs="" w:asciiTheme="majorHAnsi" w:cstheme="majorBidi" w:eastAsiaTheme="majorEastAsia" w:hAnsiTheme="majorHAnsi"/>
      <w:b/>
      <w:bCs/>
      <w:i/>
      <w:iCs/>
      <w:color w:val="2F70BF"/>
    </w:rPr>
  </w:style>
  <w:style w:type="character" w:styleId="DefaultParagraphFont" w:default="1">
    <w:name w:val="Default Paragraph Font"/>
    <w:uiPriority w:val="1"/>
    <w:semiHidden/>
    <w:unhideWhenUsed/>
    <w:qFormat/>
    <w:rPr/>
  </w:style>
  <w:style w:type="character" w:styleId="SprechblasentextZchn" w:customStyle="1">
    <w:name w:val="Sprechblasentext Zchn"/>
    <w:basedOn w:val="DefaultParagraphFont"/>
    <w:link w:val="BalloonText"/>
    <w:uiPriority w:val="99"/>
    <w:semiHidden/>
    <w:qFormat/>
    <w:rsid w:val="000144c1"/>
    <w:rPr>
      <w:rFonts w:ascii="Tahoma" w:hAnsi="Tahoma" w:cs="Tahoma"/>
      <w:sz w:val="16"/>
      <w:szCs w:val="16"/>
    </w:rPr>
  </w:style>
  <w:style w:type="character" w:styleId="KopfzeileZchn" w:customStyle="1">
    <w:name w:val="Kopfzeile Zchn"/>
    <w:basedOn w:val="DefaultParagraphFont"/>
    <w:uiPriority w:val="99"/>
    <w:qFormat/>
    <w:rsid w:val="000144c1"/>
    <w:rPr/>
  </w:style>
  <w:style w:type="character" w:styleId="FuzeileZchn" w:customStyle="1">
    <w:name w:val="Fußzeile Zchn"/>
    <w:basedOn w:val="DefaultParagraphFont"/>
    <w:uiPriority w:val="99"/>
    <w:qFormat/>
    <w:rsid w:val="000144c1"/>
    <w:rPr/>
  </w:style>
  <w:style w:type="character" w:styleId="Berschrift1Zchn" w:customStyle="1">
    <w:name w:val="Überschrift 1 Zchn"/>
    <w:basedOn w:val="DefaultParagraphFont"/>
    <w:uiPriority w:val="9"/>
    <w:qFormat/>
    <w:rsid w:val="00ce6e55"/>
    <w:rPr>
      <w:rFonts w:ascii="Myriad Pro" w:hAnsi="Myriad Pro" w:eastAsia="" w:cs="" w:asciiTheme="majorHAnsi" w:cstheme="majorBidi" w:eastAsiaTheme="majorEastAsia" w:hAnsiTheme="majorHAnsi"/>
      <w:b/>
      <w:bCs/>
      <w:color w:val="1F497D" w:themeColor="text2"/>
      <w:sz w:val="28"/>
      <w:szCs w:val="28"/>
    </w:rPr>
  </w:style>
  <w:style w:type="character" w:styleId="Internetverknpfung">
    <w:name w:val="Internetverknüpfung"/>
    <w:basedOn w:val="DefaultParagraphFont"/>
    <w:uiPriority w:val="99"/>
    <w:unhideWhenUsed/>
    <w:rsid w:val="00b07ed7"/>
    <w:rPr>
      <w:color w:val="0000FF" w:themeColor="hyperlink"/>
      <w:u w:val="single"/>
    </w:rPr>
  </w:style>
  <w:style w:type="character" w:styleId="Berschrift2Zchn" w:customStyle="1">
    <w:name w:val="Überschrift 2 Zchn"/>
    <w:basedOn w:val="DefaultParagraphFont"/>
    <w:uiPriority w:val="9"/>
    <w:qFormat/>
    <w:rsid w:val="00895e70"/>
    <w:rPr>
      <w:rFonts w:ascii="Myriad Pro" w:hAnsi="Myriad Pro" w:eastAsia="" w:cs="" w:asciiTheme="majorHAnsi" w:cstheme="majorBidi" w:eastAsiaTheme="majorEastAsia" w:hAnsiTheme="majorHAnsi"/>
      <w:b/>
      <w:bCs/>
      <w:color w:val="2F70BF"/>
      <w:sz w:val="26"/>
      <w:szCs w:val="26"/>
    </w:rPr>
  </w:style>
  <w:style w:type="character" w:styleId="Berschrift3Zchn" w:customStyle="1">
    <w:name w:val="Überschrift 3 Zchn"/>
    <w:basedOn w:val="DefaultParagraphFont"/>
    <w:uiPriority w:val="9"/>
    <w:qFormat/>
    <w:rsid w:val="00e32aa4"/>
    <w:rPr>
      <w:rFonts w:ascii="Myriad Pro" w:hAnsi="Myriad Pro" w:eastAsia="" w:cs="" w:asciiTheme="majorHAnsi" w:cstheme="majorBidi" w:eastAsiaTheme="majorEastAsia" w:hAnsiTheme="majorHAnsi"/>
      <w:b/>
      <w:bCs/>
      <w:color w:val="2F70BF"/>
    </w:rPr>
  </w:style>
  <w:style w:type="character" w:styleId="PlaceholderText">
    <w:name w:val="Placeholder Text"/>
    <w:basedOn w:val="DefaultParagraphFont"/>
    <w:uiPriority w:val="99"/>
    <w:semiHidden/>
    <w:qFormat/>
    <w:rsid w:val="004d3dd9"/>
    <w:rPr>
      <w:color w:val="808080"/>
    </w:rPr>
  </w:style>
  <w:style w:type="character" w:styleId="Berschrift4Zchn" w:customStyle="1">
    <w:name w:val="Überschrift 4 Zchn"/>
    <w:basedOn w:val="DefaultParagraphFont"/>
    <w:uiPriority w:val="9"/>
    <w:semiHidden/>
    <w:qFormat/>
    <w:rsid w:val="00e32aa4"/>
    <w:rPr>
      <w:rFonts w:ascii="Myriad Pro" w:hAnsi="Myriad Pro" w:eastAsia="" w:cs="" w:asciiTheme="majorHAnsi" w:cstheme="majorBidi" w:eastAsiaTheme="majorEastAsia" w:hAnsiTheme="majorHAnsi"/>
      <w:b/>
      <w:bCs/>
      <w:i/>
      <w:iCs/>
      <w:color w:val="2F70BF"/>
    </w:rPr>
  </w:style>
  <w:style w:type="character" w:styleId="Verzeichnissprung">
    <w:name w:val="Verzeichnissprung"/>
    <w:qFormat/>
    <w:rPr/>
  </w:style>
  <w:style w:type="paragraph" w:styleId="Berschrift">
    <w:name w:val="Überschrift"/>
    <w:basedOn w:val="Normal"/>
    <w:next w:val="Textkrper"/>
    <w:qFormat/>
    <w:pPr>
      <w:keepNext w:val="true"/>
      <w:spacing w:before="240" w:after="120"/>
    </w:pPr>
    <w:rPr>
      <w:rFonts w:ascii="Liberation Sans" w:hAnsi="Liberation Sans" w:eastAsia="Noto Sans CJK SC" w:cs="Lohit Devanagari"/>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Lohit Devanagari"/>
    </w:rPr>
  </w:style>
  <w:style w:type="paragraph" w:styleId="Beschriftung">
    <w:name w:val="Caption"/>
    <w:basedOn w:val="Normal"/>
    <w:qFormat/>
    <w:pPr>
      <w:suppressLineNumbers/>
      <w:spacing w:before="120" w:after="120"/>
    </w:pPr>
    <w:rPr>
      <w:rFonts w:cs="Lohit Devanagari"/>
      <w:i/>
      <w:iCs/>
      <w:sz w:val="24"/>
      <w:szCs w:val="24"/>
    </w:rPr>
  </w:style>
  <w:style w:type="paragraph" w:styleId="Verzeichnis">
    <w:name w:val="Verzeichnis"/>
    <w:basedOn w:val="Normal"/>
    <w:qFormat/>
    <w:pPr>
      <w:suppressLineNumbers/>
    </w:pPr>
    <w:rPr>
      <w:rFonts w:cs="Lohit Devanagari"/>
      <w:lang w:val="zxx" w:eastAsia="zxx" w:bidi="zxx"/>
    </w:rPr>
  </w:style>
  <w:style w:type="paragraph" w:styleId="BalloonText">
    <w:name w:val="Balloon Text"/>
    <w:basedOn w:val="Normal"/>
    <w:link w:val="SprechblasentextZchn"/>
    <w:uiPriority w:val="99"/>
    <w:semiHidden/>
    <w:unhideWhenUsed/>
    <w:qFormat/>
    <w:rsid w:val="000144c1"/>
    <w:pPr>
      <w:spacing w:lineRule="auto" w:line="240" w:before="0" w:after="0"/>
    </w:pPr>
    <w:rPr>
      <w:rFonts w:ascii="Tahoma" w:hAnsi="Tahoma" w:cs="Tahoma"/>
      <w:sz w:val="16"/>
      <w:szCs w:val="16"/>
    </w:rPr>
  </w:style>
  <w:style w:type="paragraph" w:styleId="KopfundFuzeile">
    <w:name w:val="Kopf- und Fußzeile"/>
    <w:basedOn w:val="Normal"/>
    <w:qFormat/>
    <w:pPr/>
    <w:rPr/>
  </w:style>
  <w:style w:type="paragraph" w:styleId="Kopfzeile">
    <w:name w:val="Header"/>
    <w:basedOn w:val="Normal"/>
    <w:link w:val="KopfzeileZchn"/>
    <w:unhideWhenUsed/>
    <w:rsid w:val="000144c1"/>
    <w:pPr>
      <w:tabs>
        <w:tab w:val="clear" w:pos="708"/>
        <w:tab w:val="center" w:pos="4536" w:leader="none"/>
        <w:tab w:val="right" w:pos="9072" w:leader="none"/>
      </w:tabs>
      <w:spacing w:lineRule="auto" w:line="240" w:before="0" w:after="0"/>
    </w:pPr>
    <w:rPr/>
  </w:style>
  <w:style w:type="paragraph" w:styleId="Fuzeile">
    <w:name w:val="Footer"/>
    <w:basedOn w:val="Normal"/>
    <w:link w:val="FuzeileZchn"/>
    <w:uiPriority w:val="99"/>
    <w:unhideWhenUsed/>
    <w:rsid w:val="000144c1"/>
    <w:pPr>
      <w:tabs>
        <w:tab w:val="clear" w:pos="708"/>
        <w:tab w:val="center" w:pos="4536" w:leader="none"/>
        <w:tab w:val="right" w:pos="9072" w:leader="none"/>
      </w:tabs>
      <w:spacing w:lineRule="auto" w:line="240" w:before="0" w:after="0"/>
    </w:pPr>
    <w:rPr/>
  </w:style>
  <w:style w:type="paragraph" w:styleId="Stichwortverzeichnisberschrift">
    <w:name w:val="Index Heading"/>
    <w:basedOn w:val="Berschrift"/>
    <w:pPr/>
    <w:rPr/>
  </w:style>
  <w:style w:type="paragraph" w:styleId="Inhaltsverzeichnisberschrift">
    <w:name w:val="TOC Heading"/>
    <w:basedOn w:val="Berschrift1"/>
    <w:next w:val="Normal"/>
    <w:uiPriority w:val="39"/>
    <w:unhideWhenUsed/>
    <w:qFormat/>
    <w:rsid w:val="00b07ed7"/>
    <w:pPr>
      <w:outlineLvl w:val="9"/>
    </w:pPr>
    <w:rPr/>
  </w:style>
  <w:style w:type="paragraph" w:styleId="Inhaltsverzeichnis2">
    <w:name w:val="TOC 2"/>
    <w:basedOn w:val="Normal"/>
    <w:next w:val="Normal"/>
    <w:autoRedefine/>
    <w:uiPriority w:val="39"/>
    <w:unhideWhenUsed/>
    <w:qFormat/>
    <w:rsid w:val="00b07ed7"/>
    <w:pPr>
      <w:spacing w:before="0" w:after="100"/>
      <w:ind w:left="220" w:hanging="0"/>
    </w:pPr>
    <w:rPr/>
  </w:style>
  <w:style w:type="paragraph" w:styleId="Inhaltsverzeichnis1">
    <w:name w:val="TOC 1"/>
    <w:basedOn w:val="Normal"/>
    <w:next w:val="Normal"/>
    <w:autoRedefine/>
    <w:uiPriority w:val="39"/>
    <w:unhideWhenUsed/>
    <w:qFormat/>
    <w:rsid w:val="00b07ed7"/>
    <w:pPr>
      <w:spacing w:before="0" w:after="100"/>
    </w:pPr>
    <w:rPr/>
  </w:style>
  <w:style w:type="paragraph" w:styleId="Inhaltsverzeichnis3">
    <w:name w:val="TOC 3"/>
    <w:basedOn w:val="Normal"/>
    <w:next w:val="Normal"/>
    <w:autoRedefine/>
    <w:uiPriority w:val="39"/>
    <w:unhideWhenUsed/>
    <w:qFormat/>
    <w:rsid w:val="00b07ed7"/>
    <w:pPr>
      <w:spacing w:before="0" w:after="100"/>
      <w:ind w:left="440" w:hanging="0"/>
    </w:pPr>
    <w:rPr/>
  </w:style>
  <w:style w:type="paragraph" w:styleId="ListParagraph">
    <w:name w:val="List Paragraph"/>
    <w:basedOn w:val="Normal"/>
    <w:uiPriority w:val="34"/>
    <w:qFormat/>
    <w:rsid w:val="005d29d2"/>
    <w:pPr>
      <w:suppressAutoHyphens w:val="true"/>
      <w:ind w:left="720" w:hanging="0"/>
    </w:pPr>
    <w:rPr>
      <w:rFonts w:ascii="Myriad Pro" w:hAnsi="Myriad Pro" w:eastAsia="Myriad Pro" w:cs="Myriad Pro"/>
      <w:lang w:eastAsia="ar-SA"/>
    </w:rPr>
  </w:style>
  <w:style w:type="paragraph" w:styleId="NoSpacing">
    <w:name w:val="No Spacing"/>
    <w:uiPriority w:val="1"/>
    <w:qFormat/>
    <w:rsid w:val="002c1966"/>
    <w:pPr>
      <w:widowControl/>
      <w:bidi w:val="0"/>
      <w:spacing w:lineRule="auto" w:line="240" w:before="0" w:after="0"/>
      <w:jc w:val="both"/>
    </w:pPr>
    <w:rPr>
      <w:rFonts w:ascii="Myriad Pro" w:hAnsi="Myriad Pro" w:eastAsia="" w:cs="" w:asciiTheme="minorHAnsi" w:cstheme="minorBidi" w:eastAsiaTheme="minorEastAsia" w:hAnsiTheme="minorHAnsi"/>
      <w:color w:val="auto"/>
      <w:kern w:val="0"/>
      <w:sz w:val="22"/>
      <w:szCs w:val="22"/>
      <w:lang w:val="de-DE" w:eastAsia="de-DE" w:bidi="ar-SA"/>
    </w:rPr>
  </w:style>
  <w:style w:type="paragraph" w:styleId="CM4" w:customStyle="1">
    <w:name w:val="CM4"/>
    <w:basedOn w:val="Normal"/>
    <w:next w:val="Normal"/>
    <w:uiPriority w:val="99"/>
    <w:qFormat/>
    <w:rsid w:val="005d6774"/>
    <w:pPr>
      <w:spacing w:lineRule="auto" w:line="240" w:before="0" w:after="0"/>
      <w:jc w:val="left"/>
    </w:pPr>
    <w:rPr>
      <w:rFonts w:ascii="EUAlbertina" w:hAnsi="EUAlbertina" w:eastAsia="Myriad Pro" w:eastAsiaTheme="minorHAnsi"/>
      <w:sz w:val="24"/>
      <w:szCs w:val="24"/>
      <w:lang w:eastAsia="en-US"/>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cf754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eba.bund.de/cln_031/nn_204508/DE/Fachthemen/Fahrzeuge/Instandhaltung/"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w24">
      <a:majorFont>
        <a:latin typeface="Myriad Pro"/>
        <a:ea typeface=""/>
        <a:cs typeface=""/>
      </a:majorFont>
      <a:minorFont>
        <a:latin typeface="Myriad Pro"/>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02824-7487-4F1E-B9A8-07FDD01A4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FB01-01_01_Vorlage_VA_AA_TW_20120413_F00_bh.dotx</Template>
  <TotalTime>1</TotalTime>
  <Application>LibreOffice/7.3.5.2$Linux_X86_64 LibreOffice_project/30$Build-2</Application>
  <AppVersion>15.0000</AppVersion>
  <Pages>10</Pages>
  <Words>1472</Words>
  <Characters>10269</Characters>
  <CharactersWithSpaces>11435</CharactersWithSpaces>
  <Paragraphs>273</Paragraphs>
  <Company>waggon24 GmbH</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2018-03-05T13:17:00Z</dcterms:created>
  <dc:creator>Benno Hein</dc:creator>
  <dc:description/>
  <dc:language>de-DE</dc:language>
  <cp:lastModifiedBy/>
  <cp:lastPrinted>2016-03-22T11:12:00Z</cp:lastPrinted>
  <dcterms:modified xsi:type="dcterms:W3CDTF">2022-08-16T13:48:22Z</dcterms:modified>
  <cp:revision>5</cp:revision>
  <dc:subject/>
  <dc:title>VA Dokumentierte Informationen</dc:title>
</cp:coreProperties>
</file>

<file path=docProps/custom.xml><?xml version="1.0" encoding="utf-8"?>
<Properties xmlns="http://schemas.openxmlformats.org/officeDocument/2006/custom-properties" xmlns:vt="http://schemas.openxmlformats.org/officeDocument/2006/docPropsVTypes"/>
</file>